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6F" w:rsidRPr="008C4D4A" w:rsidRDefault="00430E84" w:rsidP="00B4499B">
      <w:pPr>
        <w:shd w:val="clear" w:color="auto" w:fill="FFFFFF"/>
        <w:jc w:val="center"/>
        <w:outlineLvl w:val="5"/>
        <w:rPr>
          <w:rFonts w:ascii="Times New Roman" w:eastAsia="Times New Roman" w:hAnsi="Times New Roman"/>
          <w:b/>
          <w:bCs/>
          <w:color w:val="333333"/>
          <w:lang w:bidi="ar-SA"/>
        </w:rPr>
      </w:pPr>
      <w:r w:rsidRPr="008C4D4A">
        <w:rPr>
          <w:rFonts w:ascii="Times New Roman" w:eastAsia="Times New Roman" w:hAnsi="Times New Roman"/>
          <w:b/>
          <w:bCs/>
          <w:color w:val="333333"/>
          <w:lang w:bidi="ar-SA"/>
        </w:rPr>
        <w:t>Community of Practice for Public Health Improvement (</w:t>
      </w:r>
      <w:r w:rsidR="0070306F" w:rsidRPr="008C4D4A">
        <w:rPr>
          <w:rFonts w:ascii="Times New Roman" w:eastAsia="Times New Roman" w:hAnsi="Times New Roman"/>
          <w:b/>
          <w:bCs/>
          <w:color w:val="333333"/>
          <w:lang w:bidi="ar-SA"/>
        </w:rPr>
        <w:t>COPPHI</w:t>
      </w:r>
      <w:r w:rsidRPr="008C4D4A">
        <w:rPr>
          <w:rFonts w:ascii="Times New Roman" w:eastAsia="Times New Roman" w:hAnsi="Times New Roman"/>
          <w:b/>
          <w:bCs/>
          <w:color w:val="333333"/>
          <w:lang w:bidi="ar-SA"/>
        </w:rPr>
        <w:t>)</w:t>
      </w:r>
    </w:p>
    <w:p w:rsidR="00430E84" w:rsidRPr="008C4D4A" w:rsidRDefault="00430E84" w:rsidP="00B4499B">
      <w:pPr>
        <w:shd w:val="clear" w:color="auto" w:fill="FFFFFF"/>
        <w:jc w:val="center"/>
        <w:outlineLvl w:val="5"/>
        <w:rPr>
          <w:rFonts w:ascii="Times New Roman" w:eastAsia="Times New Roman" w:hAnsi="Times New Roman"/>
          <w:b/>
          <w:bCs/>
          <w:color w:val="333333"/>
          <w:lang w:bidi="ar-SA"/>
        </w:rPr>
      </w:pPr>
      <w:r w:rsidRPr="008C4D4A">
        <w:rPr>
          <w:rFonts w:ascii="Times New Roman" w:eastAsia="Times New Roman" w:hAnsi="Times New Roman"/>
          <w:b/>
          <w:bCs/>
          <w:color w:val="333333"/>
          <w:lang w:bidi="ar-SA"/>
        </w:rPr>
        <w:t>Quality Improvement Award Program</w:t>
      </w:r>
    </w:p>
    <w:p w:rsidR="00B4499B" w:rsidRPr="008C4D4A" w:rsidRDefault="00B4499B" w:rsidP="00B4499B">
      <w:pPr>
        <w:shd w:val="clear" w:color="auto" w:fill="FFFFFF"/>
        <w:outlineLvl w:val="5"/>
        <w:rPr>
          <w:rFonts w:ascii="Times New Roman" w:eastAsia="Times New Roman" w:hAnsi="Times New Roman"/>
          <w:b/>
          <w:bCs/>
          <w:color w:val="333333"/>
          <w:lang w:bidi="ar-SA"/>
        </w:rPr>
      </w:pPr>
    </w:p>
    <w:p w:rsidR="00B4499B" w:rsidRPr="008C4D4A" w:rsidRDefault="00B4499B" w:rsidP="00B4499B">
      <w:pPr>
        <w:shd w:val="clear" w:color="auto" w:fill="FFFFFF"/>
        <w:outlineLvl w:val="5"/>
        <w:rPr>
          <w:rFonts w:ascii="Times New Roman" w:eastAsia="Times New Roman" w:hAnsi="Times New Roman"/>
          <w:b/>
          <w:bCs/>
          <w:color w:val="333333"/>
          <w:lang w:bidi="ar-SA"/>
        </w:rPr>
      </w:pPr>
      <w:r w:rsidRPr="008C4D4A">
        <w:rPr>
          <w:rFonts w:ascii="Times New Roman" w:eastAsia="Times New Roman" w:hAnsi="Times New Roman"/>
          <w:b/>
          <w:bCs/>
          <w:color w:val="333333"/>
          <w:lang w:bidi="ar-SA"/>
        </w:rPr>
        <w:t>Quality Improvement</w:t>
      </w:r>
      <w:r w:rsidR="00D94542">
        <w:rPr>
          <w:rFonts w:ascii="Times New Roman" w:eastAsia="Times New Roman" w:hAnsi="Times New Roman"/>
          <w:b/>
          <w:bCs/>
          <w:color w:val="333333"/>
          <w:lang w:bidi="ar-SA"/>
        </w:rPr>
        <w:t xml:space="preserve"> Background</w:t>
      </w:r>
    </w:p>
    <w:p w:rsidR="00B4499B" w:rsidRPr="008C4D4A" w:rsidRDefault="00B4499B" w:rsidP="00B4499B">
      <w:pPr>
        <w:shd w:val="clear" w:color="auto" w:fill="FFFFFF"/>
        <w:outlineLvl w:val="5"/>
        <w:rPr>
          <w:rFonts w:ascii="Times New Roman" w:eastAsia="Times New Roman" w:hAnsi="Times New Roman"/>
          <w:b/>
          <w:bCs/>
          <w:color w:val="333333"/>
          <w:lang w:bidi="ar-SA"/>
        </w:rPr>
      </w:pPr>
    </w:p>
    <w:p w:rsidR="00C636E5" w:rsidRDefault="00B4499B" w:rsidP="00B4499B">
      <w:pPr>
        <w:shd w:val="clear" w:color="auto" w:fill="FFFFFF"/>
        <w:outlineLvl w:val="5"/>
        <w:rPr>
          <w:rFonts w:ascii="Times New Roman" w:eastAsia="Times New Roman" w:hAnsi="Times New Roman"/>
          <w:bCs/>
          <w:color w:val="333333"/>
          <w:lang w:bidi="ar-SA"/>
        </w:rPr>
      </w:pPr>
      <w:r w:rsidRPr="008C4D4A">
        <w:rPr>
          <w:rFonts w:ascii="Times New Roman" w:eastAsia="Times New Roman" w:hAnsi="Times New Roman"/>
          <w:bCs/>
          <w:color w:val="333333"/>
          <w:lang w:bidi="ar-SA"/>
        </w:rPr>
        <w:t xml:space="preserve">Fillmore County Public Health (FCPH) provides public health services to the 20,866 residents of Fillmore County.  </w:t>
      </w:r>
      <w:r w:rsidR="008C4D4A" w:rsidRPr="008C4D4A">
        <w:rPr>
          <w:rFonts w:ascii="Times New Roman" w:eastAsia="Times New Roman" w:hAnsi="Times New Roman"/>
          <w:bCs/>
          <w:color w:val="333333"/>
          <w:lang w:bidi="ar-SA"/>
        </w:rPr>
        <w:t>The six areas of public health responsibility in Minnesota are to</w:t>
      </w:r>
      <w:r w:rsidR="008C4D4A">
        <w:rPr>
          <w:rFonts w:ascii="Times New Roman" w:eastAsia="Times New Roman" w:hAnsi="Times New Roman"/>
          <w:bCs/>
          <w:color w:val="333333"/>
          <w:lang w:bidi="ar-SA"/>
        </w:rPr>
        <w:t>:</w:t>
      </w:r>
      <w:r w:rsidR="008C4D4A" w:rsidRPr="008C4D4A">
        <w:rPr>
          <w:rFonts w:ascii="Times New Roman" w:eastAsia="Times New Roman" w:hAnsi="Times New Roman"/>
          <w:bCs/>
          <w:color w:val="333333"/>
          <w:lang w:bidi="ar-SA"/>
        </w:rPr>
        <w:t xml:space="preserve"> assure adequate public health infrastructure, promote healthy communities and behavior</w:t>
      </w:r>
      <w:r w:rsidR="008C4D4A">
        <w:rPr>
          <w:rFonts w:ascii="Times New Roman" w:eastAsia="Times New Roman" w:hAnsi="Times New Roman"/>
          <w:bCs/>
          <w:color w:val="333333"/>
          <w:lang w:bidi="ar-SA"/>
        </w:rPr>
        <w:t>s</w:t>
      </w:r>
      <w:r w:rsidR="008C4D4A" w:rsidRPr="008C4D4A">
        <w:rPr>
          <w:rFonts w:ascii="Times New Roman" w:eastAsia="Times New Roman" w:hAnsi="Times New Roman"/>
          <w:bCs/>
          <w:color w:val="333333"/>
          <w:lang w:bidi="ar-SA"/>
        </w:rPr>
        <w:t>, prevent infectious disease, prepare for and respond to disasters</w:t>
      </w:r>
      <w:r w:rsidR="008C4D4A">
        <w:rPr>
          <w:rFonts w:ascii="Times New Roman" w:eastAsia="Times New Roman" w:hAnsi="Times New Roman"/>
          <w:bCs/>
          <w:color w:val="333333"/>
          <w:lang w:bidi="ar-SA"/>
        </w:rPr>
        <w:t xml:space="preserve"> and assist communities in recovery</w:t>
      </w:r>
      <w:r w:rsidR="008C4D4A" w:rsidRPr="008C4D4A">
        <w:rPr>
          <w:rFonts w:ascii="Times New Roman" w:eastAsia="Times New Roman" w:hAnsi="Times New Roman"/>
          <w:bCs/>
          <w:color w:val="333333"/>
          <w:lang w:bidi="ar-SA"/>
        </w:rPr>
        <w:t>, assure the quality and accessibility of health services, and protect against environmental health hazards.</w:t>
      </w:r>
      <w:r w:rsidR="008C4D4A">
        <w:rPr>
          <w:rFonts w:ascii="Times New Roman" w:eastAsia="Times New Roman" w:hAnsi="Times New Roman"/>
          <w:bCs/>
          <w:color w:val="333333"/>
          <w:lang w:bidi="ar-SA"/>
        </w:rPr>
        <w:t xml:space="preserve">  </w:t>
      </w:r>
    </w:p>
    <w:p w:rsidR="00C636E5" w:rsidRDefault="00C636E5" w:rsidP="00B4499B">
      <w:pPr>
        <w:shd w:val="clear" w:color="auto" w:fill="FFFFFF"/>
        <w:outlineLvl w:val="5"/>
        <w:rPr>
          <w:rFonts w:ascii="Times New Roman" w:eastAsia="Times New Roman" w:hAnsi="Times New Roman"/>
          <w:bCs/>
          <w:color w:val="333333"/>
          <w:lang w:bidi="ar-SA"/>
        </w:rPr>
      </w:pPr>
    </w:p>
    <w:p w:rsidR="00B4499B" w:rsidRDefault="008C4D4A" w:rsidP="00B4499B">
      <w:pPr>
        <w:shd w:val="clear" w:color="auto" w:fill="FFFFFF"/>
        <w:outlineLvl w:val="5"/>
        <w:rPr>
          <w:rFonts w:ascii="Times New Roman" w:eastAsia="Times New Roman" w:hAnsi="Times New Roman"/>
          <w:bCs/>
          <w:color w:val="333333"/>
          <w:lang w:bidi="ar-SA"/>
        </w:rPr>
      </w:pPr>
      <w:r>
        <w:rPr>
          <w:rFonts w:ascii="Times New Roman" w:eastAsia="Times New Roman" w:hAnsi="Times New Roman"/>
          <w:bCs/>
          <w:color w:val="333333"/>
          <w:lang w:bidi="ar-SA"/>
        </w:rPr>
        <w:t xml:space="preserve">Fillmore County Public Health is an advocate for the Quality Improvement </w:t>
      </w:r>
      <w:r w:rsidR="00604D04">
        <w:rPr>
          <w:rFonts w:ascii="Times New Roman" w:eastAsia="Times New Roman" w:hAnsi="Times New Roman"/>
          <w:bCs/>
          <w:color w:val="333333"/>
          <w:lang w:bidi="ar-SA"/>
        </w:rPr>
        <w:t xml:space="preserve">(QI) </w:t>
      </w:r>
      <w:r>
        <w:rPr>
          <w:rFonts w:ascii="Times New Roman" w:eastAsia="Times New Roman" w:hAnsi="Times New Roman"/>
          <w:bCs/>
          <w:color w:val="333333"/>
          <w:lang w:bidi="ar-SA"/>
        </w:rPr>
        <w:t xml:space="preserve">process.  During 2011, Fillmore County participated in Quality Improvement Leadership Collaborative through the </w:t>
      </w:r>
      <w:r w:rsidR="00C636E5">
        <w:rPr>
          <w:rFonts w:ascii="Times New Roman" w:eastAsia="Times New Roman" w:hAnsi="Times New Roman"/>
          <w:bCs/>
          <w:color w:val="333333"/>
          <w:lang w:bidi="ar-SA"/>
        </w:rPr>
        <w:t>Minnesota Department of Health.  Participation within the Quality Improvement Leadership Collaborative provided staff with the training, tools, and impetus for establishing a Q</w:t>
      </w:r>
      <w:r w:rsidR="00604D04">
        <w:rPr>
          <w:rFonts w:ascii="Times New Roman" w:eastAsia="Times New Roman" w:hAnsi="Times New Roman"/>
          <w:bCs/>
          <w:color w:val="333333"/>
          <w:lang w:bidi="ar-SA"/>
        </w:rPr>
        <w:t xml:space="preserve">uality Improvement Council along with Houston County Public Health.  From July to December 2011, Fillmore and Houston County Public Health worked together to develop, approve, and utilize a Plan, Charter, Organizational Structure, Calendar, Project Log, Project Proposal Form, Project Evaluation Form, and Staff Training Log for quality improvement.  These resources </w:t>
      </w:r>
      <w:r w:rsidR="00F9477C">
        <w:rPr>
          <w:rFonts w:ascii="Times New Roman" w:eastAsia="Times New Roman" w:hAnsi="Times New Roman"/>
          <w:bCs/>
          <w:color w:val="333333"/>
          <w:lang w:bidi="ar-SA"/>
        </w:rPr>
        <w:t>have since b</w:t>
      </w:r>
      <w:r w:rsidR="00604D04">
        <w:rPr>
          <w:rFonts w:ascii="Times New Roman" w:eastAsia="Times New Roman" w:hAnsi="Times New Roman"/>
          <w:bCs/>
          <w:color w:val="333333"/>
          <w:lang w:bidi="ar-SA"/>
        </w:rPr>
        <w:t>een deployed for use by each individual county and QI projects have started to be implemented.</w:t>
      </w:r>
      <w:r w:rsidR="001F0808">
        <w:rPr>
          <w:rFonts w:ascii="Times New Roman" w:eastAsia="Times New Roman" w:hAnsi="Times New Roman"/>
          <w:bCs/>
          <w:color w:val="333333"/>
          <w:lang w:bidi="ar-SA"/>
        </w:rPr>
        <w:t xml:space="preserve">  Local QI efforts have resulted in completion of </w:t>
      </w:r>
      <w:r w:rsidR="003F73B2">
        <w:rPr>
          <w:rFonts w:ascii="Times New Roman" w:eastAsia="Times New Roman" w:hAnsi="Times New Roman"/>
          <w:bCs/>
          <w:color w:val="333333"/>
          <w:lang w:bidi="ar-SA"/>
        </w:rPr>
        <w:t>Domain 9 of the PHAB Standards and Measures.</w:t>
      </w:r>
    </w:p>
    <w:p w:rsidR="00D94542" w:rsidRDefault="00D94542" w:rsidP="00D94542">
      <w:pPr>
        <w:shd w:val="clear" w:color="auto" w:fill="FFFFFF"/>
        <w:outlineLvl w:val="5"/>
        <w:rPr>
          <w:rFonts w:ascii="Times New Roman" w:eastAsia="Times New Roman" w:hAnsi="Times New Roman"/>
          <w:b/>
          <w:bCs/>
          <w:color w:val="333333"/>
          <w:lang w:bidi="ar-SA"/>
        </w:rPr>
      </w:pPr>
      <w:r>
        <w:rPr>
          <w:rFonts w:ascii="Times New Roman" w:eastAsia="Times New Roman" w:hAnsi="Times New Roman"/>
          <w:bCs/>
          <w:color w:val="333333"/>
          <w:lang w:bidi="ar-SA"/>
        </w:rPr>
        <w:t>FCPH Health is also participating in Local Public Health Assessment and Planning Process through the Office of Performance Improvement at the Minnesota Department of Health.  This process consists of an organizational self-assessment and community health assessment as part of a strategic planning process.  The outcomes of the Local Public Health Assessment and Planning Process are a Quality Improvement Plan, Strategic Plan, and Community Health Improvement Plan.</w:t>
      </w:r>
    </w:p>
    <w:p w:rsidR="00D94542" w:rsidRDefault="00D94542" w:rsidP="00D94542">
      <w:pPr>
        <w:shd w:val="clear" w:color="auto" w:fill="FFFFFF"/>
        <w:outlineLvl w:val="5"/>
        <w:rPr>
          <w:rFonts w:ascii="Times New Roman" w:eastAsia="Times New Roman" w:hAnsi="Times New Roman"/>
          <w:b/>
          <w:bCs/>
          <w:color w:val="333333"/>
          <w:lang w:bidi="ar-SA"/>
        </w:rPr>
      </w:pPr>
    </w:p>
    <w:p w:rsidR="00D94542" w:rsidRPr="008C4D4A" w:rsidRDefault="00D94542" w:rsidP="00D94542">
      <w:pPr>
        <w:shd w:val="clear" w:color="auto" w:fill="FFFFFF"/>
        <w:outlineLvl w:val="5"/>
        <w:rPr>
          <w:rFonts w:ascii="Times New Roman" w:eastAsia="Times New Roman" w:hAnsi="Times New Roman"/>
          <w:b/>
          <w:bCs/>
          <w:color w:val="333333"/>
          <w:lang w:bidi="ar-SA"/>
        </w:rPr>
      </w:pPr>
      <w:r w:rsidRPr="008C4D4A">
        <w:rPr>
          <w:rFonts w:ascii="Times New Roman" w:eastAsia="Times New Roman" w:hAnsi="Times New Roman"/>
          <w:b/>
          <w:bCs/>
          <w:color w:val="333333"/>
          <w:lang w:bidi="ar-SA"/>
        </w:rPr>
        <w:t>Quality Improvement</w:t>
      </w:r>
      <w:r w:rsidR="00DA72A9">
        <w:rPr>
          <w:rFonts w:ascii="Times New Roman" w:eastAsia="Times New Roman" w:hAnsi="Times New Roman"/>
          <w:b/>
          <w:bCs/>
          <w:color w:val="333333"/>
          <w:lang w:bidi="ar-SA"/>
        </w:rPr>
        <w:t xml:space="preserve"> Issue Identification</w:t>
      </w:r>
    </w:p>
    <w:p w:rsidR="00F9477C" w:rsidRDefault="00F9477C" w:rsidP="00B4499B">
      <w:pPr>
        <w:shd w:val="clear" w:color="auto" w:fill="FFFFFF"/>
        <w:outlineLvl w:val="5"/>
        <w:rPr>
          <w:rFonts w:ascii="Times New Roman" w:eastAsia="Times New Roman" w:hAnsi="Times New Roman"/>
          <w:bCs/>
          <w:color w:val="333333"/>
          <w:lang w:bidi="ar-SA"/>
        </w:rPr>
      </w:pPr>
    </w:p>
    <w:p w:rsidR="00F20122" w:rsidRDefault="000C28E2" w:rsidP="00B4499B">
      <w:pPr>
        <w:shd w:val="clear" w:color="auto" w:fill="FFFFFF"/>
        <w:outlineLvl w:val="5"/>
        <w:rPr>
          <w:rFonts w:ascii="Times New Roman" w:eastAsia="Times New Roman" w:hAnsi="Times New Roman"/>
          <w:bCs/>
          <w:color w:val="333333"/>
          <w:lang w:bidi="ar-SA"/>
        </w:rPr>
      </w:pPr>
      <w:r>
        <w:rPr>
          <w:rFonts w:ascii="Times New Roman" w:eastAsia="Times New Roman" w:hAnsi="Times New Roman"/>
          <w:bCs/>
          <w:color w:val="333333"/>
          <w:lang w:bidi="ar-SA"/>
        </w:rPr>
        <w:t xml:space="preserve">Fillmore County has no formal environmental </w:t>
      </w:r>
      <w:r w:rsidR="00581E8A">
        <w:rPr>
          <w:rFonts w:ascii="Times New Roman" w:eastAsia="Times New Roman" w:hAnsi="Times New Roman"/>
          <w:bCs/>
          <w:color w:val="333333"/>
          <w:lang w:bidi="ar-SA"/>
        </w:rPr>
        <w:t xml:space="preserve">health </w:t>
      </w:r>
      <w:r>
        <w:rPr>
          <w:rFonts w:ascii="Times New Roman" w:eastAsia="Times New Roman" w:hAnsi="Times New Roman"/>
          <w:bCs/>
          <w:color w:val="333333"/>
          <w:lang w:bidi="ar-SA"/>
        </w:rPr>
        <w:t xml:space="preserve">services </w:t>
      </w:r>
      <w:r w:rsidR="0003250A">
        <w:rPr>
          <w:rFonts w:ascii="Times New Roman" w:eastAsia="Times New Roman" w:hAnsi="Times New Roman"/>
          <w:bCs/>
          <w:color w:val="333333"/>
          <w:lang w:bidi="ar-SA"/>
        </w:rPr>
        <w:t xml:space="preserve">or </w:t>
      </w:r>
      <w:r w:rsidR="00F20122">
        <w:rPr>
          <w:rFonts w:ascii="Times New Roman" w:eastAsia="Times New Roman" w:hAnsi="Times New Roman"/>
          <w:bCs/>
          <w:color w:val="333333"/>
          <w:lang w:bidi="ar-SA"/>
        </w:rPr>
        <w:t xml:space="preserve">fully </w:t>
      </w:r>
      <w:r w:rsidR="0003250A">
        <w:rPr>
          <w:rFonts w:ascii="Times New Roman" w:eastAsia="Times New Roman" w:hAnsi="Times New Roman"/>
          <w:bCs/>
          <w:color w:val="333333"/>
          <w:lang w:bidi="ar-SA"/>
        </w:rPr>
        <w:t>adopted building code.  Multiple county and state departments are responsible for responding to various health problems and environmental health hazards</w:t>
      </w:r>
      <w:r w:rsidR="00F20122">
        <w:rPr>
          <w:rFonts w:ascii="Times New Roman" w:eastAsia="Times New Roman" w:hAnsi="Times New Roman"/>
          <w:bCs/>
          <w:color w:val="333333"/>
          <w:lang w:bidi="ar-SA"/>
        </w:rPr>
        <w:t xml:space="preserve"> </w:t>
      </w:r>
      <w:r w:rsidR="00581E8A">
        <w:rPr>
          <w:rFonts w:ascii="Times New Roman" w:eastAsia="Times New Roman" w:hAnsi="Times New Roman"/>
          <w:bCs/>
          <w:color w:val="333333"/>
          <w:lang w:bidi="ar-SA"/>
        </w:rPr>
        <w:t>which makes</w:t>
      </w:r>
      <w:r w:rsidR="00D835D7">
        <w:rPr>
          <w:rFonts w:ascii="Times New Roman" w:eastAsia="Times New Roman" w:hAnsi="Times New Roman"/>
          <w:bCs/>
          <w:color w:val="333333"/>
          <w:lang w:bidi="ar-SA"/>
        </w:rPr>
        <w:t xml:space="preserve"> investigations complex, </w:t>
      </w:r>
      <w:r w:rsidR="00581E8A">
        <w:rPr>
          <w:rFonts w:ascii="Times New Roman" w:eastAsia="Times New Roman" w:hAnsi="Times New Roman"/>
          <w:bCs/>
          <w:color w:val="333333"/>
          <w:lang w:bidi="ar-SA"/>
        </w:rPr>
        <w:t>response time delayed</w:t>
      </w:r>
      <w:r w:rsidR="00D835D7">
        <w:rPr>
          <w:rFonts w:ascii="Times New Roman" w:eastAsia="Times New Roman" w:hAnsi="Times New Roman"/>
          <w:bCs/>
          <w:color w:val="333333"/>
          <w:lang w:bidi="ar-SA"/>
        </w:rPr>
        <w:t>, and health consequences high</w:t>
      </w:r>
      <w:r w:rsidR="005A2B82">
        <w:rPr>
          <w:rFonts w:ascii="Times New Roman" w:eastAsia="Times New Roman" w:hAnsi="Times New Roman"/>
          <w:bCs/>
          <w:color w:val="333333"/>
          <w:lang w:bidi="ar-SA"/>
        </w:rPr>
        <w:t>.  Protocols exist for issues such</w:t>
      </w:r>
      <w:r w:rsidR="004B3CB7">
        <w:rPr>
          <w:rFonts w:ascii="Times New Roman" w:eastAsia="Times New Roman" w:hAnsi="Times New Roman"/>
          <w:bCs/>
          <w:color w:val="333333"/>
          <w:lang w:bidi="ar-SA"/>
        </w:rPr>
        <w:t xml:space="preserve"> as</w:t>
      </w:r>
      <w:r w:rsidR="005A2B82">
        <w:rPr>
          <w:rFonts w:ascii="Times New Roman" w:eastAsia="Times New Roman" w:hAnsi="Times New Roman"/>
          <w:bCs/>
          <w:color w:val="333333"/>
          <w:lang w:bidi="ar-SA"/>
        </w:rPr>
        <w:t xml:space="preserve"> meth lab cleanup and septic system failure but not for issues such as mold exposure or silica sand mining.  Fillmore County Public Health does not currently have a uniform system in place to </w:t>
      </w:r>
      <w:r w:rsidR="00915A88">
        <w:rPr>
          <w:rFonts w:ascii="Times New Roman" w:eastAsia="Times New Roman" w:hAnsi="Times New Roman"/>
          <w:bCs/>
          <w:color w:val="333333"/>
          <w:lang w:bidi="ar-SA"/>
        </w:rPr>
        <w:t xml:space="preserve">respond </w:t>
      </w:r>
      <w:r w:rsidR="005A2B82">
        <w:rPr>
          <w:rFonts w:ascii="Times New Roman" w:eastAsia="Times New Roman" w:hAnsi="Times New Roman"/>
          <w:bCs/>
          <w:color w:val="333333"/>
          <w:lang w:bidi="ar-SA"/>
        </w:rPr>
        <w:t>to public health issues and environmental health hazards</w:t>
      </w:r>
      <w:r w:rsidR="00915A88">
        <w:rPr>
          <w:rFonts w:ascii="Times New Roman" w:eastAsia="Times New Roman" w:hAnsi="Times New Roman"/>
          <w:bCs/>
          <w:color w:val="333333"/>
          <w:lang w:bidi="ar-SA"/>
        </w:rPr>
        <w:t xml:space="preserve"> or refer them to the appropriate response agency within a specifically allotted time frame</w:t>
      </w:r>
      <w:r w:rsidR="005A2B82">
        <w:rPr>
          <w:rFonts w:ascii="Times New Roman" w:eastAsia="Times New Roman" w:hAnsi="Times New Roman"/>
          <w:bCs/>
          <w:color w:val="333333"/>
          <w:lang w:bidi="ar-SA"/>
        </w:rPr>
        <w:t xml:space="preserve">.  </w:t>
      </w:r>
      <w:r w:rsidR="000E5483">
        <w:rPr>
          <w:rFonts w:ascii="Times New Roman" w:eastAsia="Times New Roman" w:hAnsi="Times New Roman"/>
          <w:bCs/>
          <w:color w:val="333333"/>
          <w:lang w:bidi="ar-SA"/>
        </w:rPr>
        <w:t xml:space="preserve">The need for such a system is warranted in order to provide safe protection for </w:t>
      </w:r>
      <w:r w:rsidR="00581E8A">
        <w:rPr>
          <w:rFonts w:ascii="Times New Roman" w:eastAsia="Times New Roman" w:hAnsi="Times New Roman"/>
          <w:bCs/>
          <w:color w:val="333333"/>
          <w:lang w:bidi="ar-SA"/>
        </w:rPr>
        <w:t>all Fillmore County residents</w:t>
      </w:r>
      <w:r w:rsidR="000E5483">
        <w:rPr>
          <w:rFonts w:ascii="Times New Roman" w:eastAsia="Times New Roman" w:hAnsi="Times New Roman"/>
          <w:bCs/>
          <w:color w:val="333333"/>
          <w:lang w:bidi="ar-SA"/>
        </w:rPr>
        <w:t xml:space="preserve"> from health problems and environmental health hazards while improving the efficiency </w:t>
      </w:r>
      <w:r w:rsidR="00581E8A">
        <w:rPr>
          <w:rFonts w:ascii="Times New Roman" w:eastAsia="Times New Roman" w:hAnsi="Times New Roman"/>
          <w:bCs/>
          <w:color w:val="333333"/>
          <w:lang w:bidi="ar-SA"/>
        </w:rPr>
        <w:t xml:space="preserve">and effectiveness </w:t>
      </w:r>
      <w:r w:rsidR="000E5483">
        <w:rPr>
          <w:rFonts w:ascii="Times New Roman" w:eastAsia="Times New Roman" w:hAnsi="Times New Roman"/>
          <w:bCs/>
          <w:color w:val="333333"/>
          <w:lang w:bidi="ar-SA"/>
        </w:rPr>
        <w:t>of FCPH.</w:t>
      </w:r>
      <w:r w:rsidR="00A13A96">
        <w:rPr>
          <w:rFonts w:ascii="Times New Roman" w:eastAsia="Times New Roman" w:hAnsi="Times New Roman"/>
          <w:bCs/>
          <w:color w:val="333333"/>
          <w:lang w:bidi="ar-SA"/>
        </w:rPr>
        <w:t xml:space="preserve">  This need is also corroborated by a recent assessment process conducted by FCPH.</w:t>
      </w:r>
    </w:p>
    <w:p w:rsidR="000E5483" w:rsidRDefault="000E5483" w:rsidP="00B4499B">
      <w:pPr>
        <w:shd w:val="clear" w:color="auto" w:fill="FFFFFF"/>
        <w:outlineLvl w:val="5"/>
        <w:rPr>
          <w:rFonts w:ascii="Times New Roman" w:eastAsia="Times New Roman" w:hAnsi="Times New Roman"/>
          <w:bCs/>
          <w:color w:val="333333"/>
          <w:lang w:bidi="ar-SA"/>
        </w:rPr>
      </w:pPr>
    </w:p>
    <w:p w:rsidR="00823584" w:rsidRDefault="00DA72A9" w:rsidP="00B4499B">
      <w:pPr>
        <w:shd w:val="clear" w:color="auto" w:fill="FFFFFF"/>
        <w:outlineLvl w:val="5"/>
        <w:rPr>
          <w:rFonts w:ascii="Times New Roman" w:eastAsia="Times New Roman" w:hAnsi="Times New Roman"/>
          <w:bCs/>
          <w:color w:val="333333"/>
          <w:lang w:bidi="ar-SA"/>
        </w:rPr>
      </w:pPr>
      <w:r>
        <w:rPr>
          <w:rFonts w:ascii="Times New Roman" w:eastAsia="Times New Roman" w:hAnsi="Times New Roman"/>
          <w:bCs/>
          <w:color w:val="333333"/>
          <w:lang w:bidi="ar-SA"/>
        </w:rPr>
        <w:t>In July 2011, an</w:t>
      </w:r>
      <w:r w:rsidR="001F0808">
        <w:rPr>
          <w:rFonts w:ascii="Times New Roman" w:eastAsia="Times New Roman" w:hAnsi="Times New Roman"/>
          <w:bCs/>
          <w:color w:val="333333"/>
          <w:lang w:bidi="ar-SA"/>
        </w:rPr>
        <w:t xml:space="preserve"> organizational self-assessment was completed </w:t>
      </w:r>
      <w:r w:rsidR="00312ED3">
        <w:rPr>
          <w:rFonts w:ascii="Times New Roman" w:eastAsia="Times New Roman" w:hAnsi="Times New Roman"/>
          <w:bCs/>
          <w:color w:val="333333"/>
          <w:lang w:bidi="ar-SA"/>
        </w:rPr>
        <w:t xml:space="preserve">by </w:t>
      </w:r>
      <w:r w:rsidR="001F0808">
        <w:rPr>
          <w:rFonts w:ascii="Times New Roman" w:eastAsia="Times New Roman" w:hAnsi="Times New Roman"/>
          <w:bCs/>
          <w:color w:val="333333"/>
          <w:lang w:bidi="ar-SA"/>
        </w:rPr>
        <w:t xml:space="preserve">Fillmore County Public Health </w:t>
      </w:r>
      <w:r w:rsidR="00312ED3">
        <w:rPr>
          <w:rFonts w:ascii="Times New Roman" w:eastAsia="Times New Roman" w:hAnsi="Times New Roman"/>
          <w:bCs/>
          <w:color w:val="333333"/>
          <w:lang w:bidi="ar-SA"/>
        </w:rPr>
        <w:t>utilizing the Tracking Tool</w:t>
      </w:r>
      <w:r>
        <w:rPr>
          <w:rFonts w:ascii="Times New Roman" w:eastAsia="Times New Roman" w:hAnsi="Times New Roman"/>
          <w:bCs/>
          <w:color w:val="333333"/>
          <w:lang w:bidi="ar-SA"/>
        </w:rPr>
        <w:t xml:space="preserve"> for Standards Self-Assessmen</w:t>
      </w:r>
      <w:r w:rsidR="00312ED3">
        <w:rPr>
          <w:rFonts w:ascii="Times New Roman" w:eastAsia="Times New Roman" w:hAnsi="Times New Roman"/>
          <w:bCs/>
          <w:color w:val="333333"/>
          <w:lang w:bidi="ar-SA"/>
        </w:rPr>
        <w:t xml:space="preserve">t.  This tool </w:t>
      </w:r>
      <w:r>
        <w:rPr>
          <w:rFonts w:ascii="Times New Roman" w:eastAsia="Times New Roman" w:hAnsi="Times New Roman"/>
          <w:bCs/>
          <w:color w:val="333333"/>
          <w:lang w:bidi="ar-SA"/>
        </w:rPr>
        <w:t>assesses</w:t>
      </w:r>
      <w:r w:rsidR="00073F24">
        <w:rPr>
          <w:rFonts w:ascii="Times New Roman" w:eastAsia="Times New Roman" w:hAnsi="Times New Roman"/>
          <w:bCs/>
          <w:color w:val="333333"/>
          <w:lang w:bidi="ar-SA"/>
        </w:rPr>
        <w:t xml:space="preserve"> the level at which each PHAB Domain has been demonstrated by the local health department.  The </w:t>
      </w:r>
      <w:r w:rsidR="00820E83">
        <w:rPr>
          <w:rFonts w:ascii="Times New Roman" w:eastAsia="Times New Roman" w:hAnsi="Times New Roman"/>
          <w:bCs/>
          <w:color w:val="333333"/>
          <w:lang w:bidi="ar-SA"/>
        </w:rPr>
        <w:t xml:space="preserve">top </w:t>
      </w:r>
      <w:r w:rsidR="00073F24">
        <w:rPr>
          <w:rFonts w:ascii="Times New Roman" w:eastAsia="Times New Roman" w:hAnsi="Times New Roman"/>
          <w:bCs/>
          <w:color w:val="333333"/>
          <w:lang w:bidi="ar-SA"/>
        </w:rPr>
        <w:t xml:space="preserve">three </w:t>
      </w:r>
      <w:r w:rsidR="00073F24">
        <w:rPr>
          <w:rFonts w:ascii="Times New Roman" w:eastAsia="Times New Roman" w:hAnsi="Times New Roman"/>
          <w:bCs/>
          <w:color w:val="333333"/>
          <w:lang w:bidi="ar-SA"/>
        </w:rPr>
        <w:lastRenderedPageBreak/>
        <w:t>standards m</w:t>
      </w:r>
      <w:r>
        <w:rPr>
          <w:rFonts w:ascii="Times New Roman" w:eastAsia="Times New Roman" w:hAnsi="Times New Roman"/>
          <w:bCs/>
          <w:color w:val="333333"/>
          <w:lang w:bidi="ar-SA"/>
        </w:rPr>
        <w:t xml:space="preserve">ost in need of improvement were: Developing and Implementing </w:t>
      </w:r>
      <w:r w:rsidR="00073F24">
        <w:rPr>
          <w:rFonts w:ascii="Times New Roman" w:eastAsia="Times New Roman" w:hAnsi="Times New Roman"/>
          <w:bCs/>
          <w:color w:val="333333"/>
          <w:lang w:bidi="ar-SA"/>
        </w:rPr>
        <w:t>a Strategic Plan (Standard 5.3), Identify</w:t>
      </w:r>
      <w:r>
        <w:rPr>
          <w:rFonts w:ascii="Times New Roman" w:eastAsia="Times New Roman" w:hAnsi="Times New Roman"/>
          <w:bCs/>
          <w:color w:val="333333"/>
          <w:lang w:bidi="ar-SA"/>
        </w:rPr>
        <w:t>ing</w:t>
      </w:r>
      <w:r w:rsidR="00073F24">
        <w:rPr>
          <w:rFonts w:ascii="Times New Roman" w:eastAsia="Times New Roman" w:hAnsi="Times New Roman"/>
          <w:bCs/>
          <w:color w:val="333333"/>
          <w:lang w:bidi="ar-SA"/>
        </w:rPr>
        <w:t xml:space="preserve"> and Implement</w:t>
      </w:r>
      <w:r>
        <w:rPr>
          <w:rFonts w:ascii="Times New Roman" w:eastAsia="Times New Roman" w:hAnsi="Times New Roman"/>
          <w:bCs/>
          <w:color w:val="333333"/>
          <w:lang w:bidi="ar-SA"/>
        </w:rPr>
        <w:t>ing</w:t>
      </w:r>
      <w:r w:rsidR="00073F24">
        <w:rPr>
          <w:rFonts w:ascii="Times New Roman" w:eastAsia="Times New Roman" w:hAnsi="Times New Roman"/>
          <w:bCs/>
          <w:color w:val="333333"/>
          <w:lang w:bidi="ar-SA"/>
        </w:rPr>
        <w:t xml:space="preserve"> Strategies to Improve Access to Health Care Services (Standard 7.2), and Conduct</w:t>
      </w:r>
      <w:r>
        <w:rPr>
          <w:rFonts w:ascii="Times New Roman" w:eastAsia="Times New Roman" w:hAnsi="Times New Roman"/>
          <w:bCs/>
          <w:color w:val="333333"/>
          <w:lang w:bidi="ar-SA"/>
        </w:rPr>
        <w:t>ing</w:t>
      </w:r>
      <w:r w:rsidR="00073F24">
        <w:rPr>
          <w:rFonts w:ascii="Times New Roman" w:eastAsia="Times New Roman" w:hAnsi="Times New Roman"/>
          <w:bCs/>
          <w:color w:val="333333"/>
          <w:lang w:bidi="ar-SA"/>
        </w:rPr>
        <w:t xml:space="preserve"> Timely Investigations of Health Problems and Environmental Public Health Hazards (Standard 2.1)</w:t>
      </w:r>
      <w:r>
        <w:rPr>
          <w:rFonts w:ascii="Times New Roman" w:eastAsia="Times New Roman" w:hAnsi="Times New Roman"/>
          <w:bCs/>
          <w:color w:val="333333"/>
          <w:lang w:bidi="ar-SA"/>
        </w:rPr>
        <w:t>.</w:t>
      </w:r>
      <w:r w:rsidR="00820E83">
        <w:rPr>
          <w:rFonts w:ascii="Times New Roman" w:eastAsia="Times New Roman" w:hAnsi="Times New Roman"/>
          <w:bCs/>
          <w:color w:val="333333"/>
          <w:lang w:bidi="ar-SA"/>
        </w:rPr>
        <w:t xml:space="preserve">  Standard 5.3</w:t>
      </w:r>
      <w:r w:rsidR="009A73CF">
        <w:rPr>
          <w:rFonts w:ascii="Times New Roman" w:eastAsia="Times New Roman" w:hAnsi="Times New Roman"/>
          <w:bCs/>
          <w:color w:val="333333"/>
          <w:lang w:bidi="ar-SA"/>
        </w:rPr>
        <w:t xml:space="preserve"> and 7.2</w:t>
      </w:r>
      <w:r w:rsidR="00820E83">
        <w:rPr>
          <w:rFonts w:ascii="Times New Roman" w:eastAsia="Times New Roman" w:hAnsi="Times New Roman"/>
          <w:bCs/>
          <w:color w:val="333333"/>
          <w:lang w:bidi="ar-SA"/>
        </w:rPr>
        <w:t xml:space="preserve"> will be address</w:t>
      </w:r>
      <w:r w:rsidR="00B56CED">
        <w:rPr>
          <w:rFonts w:ascii="Times New Roman" w:eastAsia="Times New Roman" w:hAnsi="Times New Roman"/>
          <w:bCs/>
          <w:color w:val="333333"/>
          <w:lang w:bidi="ar-SA"/>
        </w:rPr>
        <w:t>ed</w:t>
      </w:r>
      <w:r w:rsidR="00820E83">
        <w:rPr>
          <w:rFonts w:ascii="Times New Roman" w:eastAsia="Times New Roman" w:hAnsi="Times New Roman"/>
          <w:bCs/>
          <w:color w:val="333333"/>
          <w:lang w:bidi="ar-SA"/>
        </w:rPr>
        <w:t xml:space="preserve"> as part of the Local Public Health Assessment and Planning Process.  </w:t>
      </w:r>
    </w:p>
    <w:p w:rsidR="00823584" w:rsidRDefault="00823584" w:rsidP="00B4499B">
      <w:pPr>
        <w:shd w:val="clear" w:color="auto" w:fill="FFFFFF"/>
        <w:outlineLvl w:val="5"/>
        <w:rPr>
          <w:rFonts w:ascii="Times New Roman" w:eastAsia="Times New Roman" w:hAnsi="Times New Roman"/>
          <w:bCs/>
          <w:color w:val="333333"/>
          <w:lang w:bidi="ar-SA"/>
        </w:rPr>
      </w:pPr>
    </w:p>
    <w:p w:rsidR="00F9477C" w:rsidRDefault="00170398" w:rsidP="00B4499B">
      <w:pPr>
        <w:shd w:val="clear" w:color="auto" w:fill="FFFFFF"/>
        <w:outlineLvl w:val="5"/>
        <w:rPr>
          <w:rFonts w:ascii="Times New Roman" w:eastAsia="Times New Roman" w:hAnsi="Times New Roman"/>
          <w:bCs/>
          <w:color w:val="333333"/>
          <w:lang w:bidi="ar-SA"/>
        </w:rPr>
      </w:pPr>
      <w:r>
        <w:rPr>
          <w:rFonts w:ascii="Times New Roman" w:eastAsia="Times New Roman" w:hAnsi="Times New Roman"/>
          <w:bCs/>
          <w:color w:val="333333"/>
          <w:lang w:bidi="ar-SA"/>
        </w:rPr>
        <w:t xml:space="preserve">For the purposes of this project, measures within Standard 2.1 will be addressed due to identification through the self-assessment process and </w:t>
      </w:r>
      <w:r w:rsidR="001D4E21">
        <w:rPr>
          <w:rFonts w:ascii="Times New Roman" w:eastAsia="Times New Roman" w:hAnsi="Times New Roman"/>
          <w:bCs/>
          <w:color w:val="333333"/>
          <w:lang w:bidi="ar-SA"/>
        </w:rPr>
        <w:t>the increased need to address health problems and environmental public health hazards through systematic means with no formal environmental services.</w:t>
      </w:r>
      <w:r w:rsidR="00037495">
        <w:rPr>
          <w:rFonts w:ascii="Times New Roman" w:eastAsia="Times New Roman" w:hAnsi="Times New Roman"/>
          <w:bCs/>
          <w:color w:val="333333"/>
          <w:lang w:bidi="ar-SA"/>
        </w:rPr>
        <w:t xml:space="preserve">  </w:t>
      </w:r>
      <w:r w:rsidR="0057011F">
        <w:rPr>
          <w:rFonts w:ascii="Times New Roman" w:eastAsia="Times New Roman" w:hAnsi="Times New Roman"/>
          <w:bCs/>
          <w:color w:val="333333"/>
          <w:lang w:bidi="ar-SA"/>
        </w:rPr>
        <w:t>T</w:t>
      </w:r>
      <w:r w:rsidR="00037495">
        <w:rPr>
          <w:rFonts w:ascii="Times New Roman" w:eastAsia="Times New Roman" w:hAnsi="Times New Roman"/>
          <w:bCs/>
          <w:color w:val="333333"/>
          <w:lang w:bidi="ar-SA"/>
        </w:rPr>
        <w:t>he Rapid Cycle Improvement Proce</w:t>
      </w:r>
      <w:r w:rsidR="00B56CED">
        <w:rPr>
          <w:rFonts w:ascii="Times New Roman" w:eastAsia="Times New Roman" w:hAnsi="Times New Roman"/>
          <w:bCs/>
          <w:color w:val="333333"/>
          <w:lang w:bidi="ar-SA"/>
        </w:rPr>
        <w:t xml:space="preserve">ss (PDCA/PDSA) will be </w:t>
      </w:r>
      <w:r w:rsidR="00CD75EE">
        <w:rPr>
          <w:rFonts w:ascii="Times New Roman" w:eastAsia="Times New Roman" w:hAnsi="Times New Roman"/>
          <w:bCs/>
          <w:color w:val="333333"/>
          <w:lang w:bidi="ar-SA"/>
        </w:rPr>
        <w:t>utilized</w:t>
      </w:r>
      <w:r w:rsidR="0057011F">
        <w:rPr>
          <w:rFonts w:ascii="Times New Roman" w:eastAsia="Times New Roman" w:hAnsi="Times New Roman"/>
          <w:bCs/>
          <w:color w:val="333333"/>
          <w:lang w:bidi="ar-SA"/>
        </w:rPr>
        <w:t xml:space="preserve"> to improve processes that will</w:t>
      </w:r>
      <w:r w:rsidR="00CD75EE">
        <w:rPr>
          <w:rFonts w:ascii="Times New Roman" w:eastAsia="Times New Roman" w:hAnsi="Times New Roman"/>
          <w:bCs/>
          <w:color w:val="333333"/>
          <w:lang w:bidi="ar-SA"/>
        </w:rPr>
        <w:t xml:space="preserve"> reduce response time, improve partnership collaborations, and reduce negative outcomes associated with health hazards.</w:t>
      </w:r>
    </w:p>
    <w:p w:rsidR="00940C89" w:rsidRDefault="00940C89" w:rsidP="00B4499B">
      <w:pPr>
        <w:shd w:val="clear" w:color="auto" w:fill="FFFFFF"/>
        <w:outlineLvl w:val="5"/>
        <w:rPr>
          <w:rFonts w:ascii="Times New Roman" w:eastAsia="Times New Roman" w:hAnsi="Times New Roman"/>
          <w:b/>
          <w:bCs/>
          <w:color w:val="333333"/>
          <w:lang w:bidi="ar-SA"/>
        </w:rPr>
      </w:pPr>
    </w:p>
    <w:p w:rsidR="002C4E29" w:rsidRPr="002C4E29" w:rsidRDefault="002C4E29" w:rsidP="00B4499B">
      <w:pPr>
        <w:shd w:val="clear" w:color="auto" w:fill="FFFFFF"/>
        <w:outlineLvl w:val="5"/>
        <w:rPr>
          <w:rFonts w:ascii="Times New Roman" w:eastAsia="Times New Roman" w:hAnsi="Times New Roman"/>
          <w:b/>
          <w:bCs/>
          <w:color w:val="333333"/>
          <w:lang w:bidi="ar-SA"/>
        </w:rPr>
      </w:pPr>
      <w:r w:rsidRPr="002C4E29">
        <w:rPr>
          <w:rFonts w:ascii="Times New Roman" w:eastAsia="Times New Roman" w:hAnsi="Times New Roman"/>
          <w:b/>
          <w:bCs/>
          <w:color w:val="333333"/>
          <w:lang w:bidi="ar-SA"/>
        </w:rPr>
        <w:t>Aim Statement</w:t>
      </w:r>
    </w:p>
    <w:p w:rsidR="000F6A62" w:rsidRDefault="000F6A62" w:rsidP="0017648D">
      <w:pPr>
        <w:rPr>
          <w:rFonts w:ascii="Times New Roman" w:eastAsia="Times New Roman" w:hAnsi="Times New Roman"/>
          <w:bCs/>
          <w:color w:val="333333"/>
          <w:lang w:bidi="ar-SA"/>
        </w:rPr>
      </w:pPr>
    </w:p>
    <w:p w:rsidR="000C28E2" w:rsidRDefault="001D4E21" w:rsidP="0017648D">
      <w:pPr>
        <w:rPr>
          <w:rFonts w:ascii="Times New Roman" w:eastAsia="Times New Roman" w:hAnsi="Times New Roman"/>
          <w:bCs/>
          <w:color w:val="333333"/>
          <w:lang w:bidi="ar-SA"/>
        </w:rPr>
      </w:pPr>
      <w:r w:rsidRPr="00940C89">
        <w:rPr>
          <w:rFonts w:ascii="Times New Roman" w:eastAsia="Times New Roman" w:hAnsi="Times New Roman"/>
          <w:bCs/>
          <w:color w:val="333333"/>
          <w:lang w:bidi="ar-SA"/>
        </w:rPr>
        <w:t xml:space="preserve">By November 2012, </w:t>
      </w:r>
      <w:r w:rsidR="005F290D">
        <w:rPr>
          <w:rFonts w:ascii="Times New Roman" w:eastAsia="Times New Roman" w:hAnsi="Times New Roman"/>
          <w:bCs/>
          <w:color w:val="333333"/>
          <w:lang w:bidi="ar-SA"/>
        </w:rPr>
        <w:t>90</w:t>
      </w:r>
      <w:r w:rsidR="0046084C">
        <w:rPr>
          <w:rFonts w:ascii="Times New Roman" w:eastAsia="Times New Roman" w:hAnsi="Times New Roman"/>
          <w:bCs/>
          <w:color w:val="333333"/>
          <w:lang w:bidi="ar-SA"/>
        </w:rPr>
        <w:t xml:space="preserve">% of health and environmental health hazards will be investigated within </w:t>
      </w:r>
      <w:r w:rsidR="00AF738F">
        <w:rPr>
          <w:rFonts w:ascii="Times New Roman" w:eastAsia="Times New Roman" w:hAnsi="Times New Roman"/>
          <w:bCs/>
          <w:color w:val="333333"/>
          <w:lang w:bidi="ar-SA"/>
        </w:rPr>
        <w:t>twenty-four hours after</w:t>
      </w:r>
      <w:r w:rsidR="0046084C" w:rsidRPr="00940C89">
        <w:rPr>
          <w:rFonts w:ascii="Times New Roman" w:eastAsia="Times New Roman" w:hAnsi="Times New Roman"/>
          <w:bCs/>
          <w:color w:val="333333"/>
          <w:lang w:bidi="ar-SA"/>
        </w:rPr>
        <w:t xml:space="preserve"> </w:t>
      </w:r>
      <w:r w:rsidR="0046084C">
        <w:rPr>
          <w:rFonts w:ascii="Times New Roman" w:eastAsia="Times New Roman" w:hAnsi="Times New Roman"/>
          <w:bCs/>
          <w:color w:val="333333"/>
          <w:lang w:bidi="ar-SA"/>
        </w:rPr>
        <w:t>initial</w:t>
      </w:r>
      <w:r w:rsidR="0046084C" w:rsidRPr="00940C89">
        <w:rPr>
          <w:rFonts w:ascii="Times New Roman" w:eastAsia="Times New Roman" w:hAnsi="Times New Roman"/>
          <w:bCs/>
          <w:color w:val="333333"/>
          <w:lang w:bidi="ar-SA"/>
        </w:rPr>
        <w:t xml:space="preserve"> notification</w:t>
      </w:r>
      <w:r w:rsidR="0046084C">
        <w:rPr>
          <w:rFonts w:ascii="Times New Roman" w:eastAsia="Times New Roman" w:hAnsi="Times New Roman"/>
          <w:bCs/>
          <w:color w:val="333333"/>
          <w:lang w:bidi="ar-SA"/>
        </w:rPr>
        <w:t xml:space="preserve"> </w:t>
      </w:r>
      <w:r w:rsidR="00AF738F">
        <w:rPr>
          <w:rFonts w:ascii="Times New Roman" w:eastAsia="Times New Roman" w:hAnsi="Times New Roman"/>
          <w:bCs/>
          <w:color w:val="333333"/>
          <w:lang w:bidi="ar-SA"/>
        </w:rPr>
        <w:t>to</w:t>
      </w:r>
      <w:r w:rsidR="0046084C">
        <w:rPr>
          <w:rFonts w:ascii="Times New Roman" w:eastAsia="Times New Roman" w:hAnsi="Times New Roman"/>
          <w:bCs/>
          <w:color w:val="333333"/>
          <w:lang w:bidi="ar-SA"/>
        </w:rPr>
        <w:t xml:space="preserve"> </w:t>
      </w:r>
      <w:r w:rsidR="003307EC">
        <w:rPr>
          <w:rFonts w:ascii="Times New Roman" w:eastAsia="Times New Roman" w:hAnsi="Times New Roman"/>
          <w:bCs/>
          <w:color w:val="333333"/>
          <w:lang w:bidi="ar-SA"/>
        </w:rPr>
        <w:t xml:space="preserve">Fillmore County Public Health </w:t>
      </w:r>
      <w:r w:rsidR="0046084C">
        <w:rPr>
          <w:rFonts w:ascii="Times New Roman" w:eastAsia="Times New Roman" w:hAnsi="Times New Roman"/>
          <w:bCs/>
          <w:color w:val="333333"/>
          <w:lang w:bidi="ar-SA"/>
        </w:rPr>
        <w:t xml:space="preserve">or </w:t>
      </w:r>
      <w:r w:rsidR="003307EC">
        <w:rPr>
          <w:rFonts w:ascii="Times New Roman" w:eastAsia="Times New Roman" w:hAnsi="Times New Roman"/>
          <w:bCs/>
          <w:color w:val="333333"/>
          <w:lang w:bidi="ar-SA"/>
        </w:rPr>
        <w:t>refer</w:t>
      </w:r>
      <w:r w:rsidR="0046084C">
        <w:rPr>
          <w:rFonts w:ascii="Times New Roman" w:eastAsia="Times New Roman" w:hAnsi="Times New Roman"/>
          <w:bCs/>
          <w:color w:val="333333"/>
          <w:lang w:bidi="ar-SA"/>
        </w:rPr>
        <w:t>red to appropriate partnering agencies</w:t>
      </w:r>
      <w:r w:rsidRPr="00940C89">
        <w:rPr>
          <w:rFonts w:ascii="Times New Roman" w:eastAsia="Times New Roman" w:hAnsi="Times New Roman"/>
          <w:bCs/>
          <w:color w:val="333333"/>
          <w:lang w:bidi="ar-SA"/>
        </w:rPr>
        <w:t>.</w:t>
      </w:r>
      <w:r w:rsidR="000C28E2">
        <w:rPr>
          <w:rFonts w:ascii="Times New Roman" w:eastAsia="Times New Roman" w:hAnsi="Times New Roman"/>
          <w:bCs/>
          <w:color w:val="333333"/>
          <w:lang w:bidi="ar-SA"/>
        </w:rPr>
        <w:t xml:space="preserve">  </w:t>
      </w:r>
    </w:p>
    <w:p w:rsidR="00EB4150" w:rsidRDefault="00EB4150" w:rsidP="0017648D">
      <w:pPr>
        <w:rPr>
          <w:rFonts w:ascii="Times New Roman" w:eastAsia="Times New Roman" w:hAnsi="Times New Roman"/>
          <w:bCs/>
          <w:color w:val="333333"/>
          <w:lang w:bidi="ar-SA"/>
        </w:rPr>
      </w:pPr>
    </w:p>
    <w:p w:rsidR="00EB4150" w:rsidRDefault="00276E99" w:rsidP="0017648D">
      <w:pPr>
        <w:rPr>
          <w:rFonts w:ascii="Times New Roman" w:eastAsia="Times New Roman" w:hAnsi="Times New Roman"/>
          <w:b/>
          <w:bCs/>
          <w:color w:val="333333"/>
          <w:lang w:bidi="ar-SA"/>
        </w:rPr>
      </w:pPr>
      <w:r>
        <w:rPr>
          <w:rFonts w:ascii="Times New Roman" w:eastAsia="Times New Roman" w:hAnsi="Times New Roman"/>
          <w:b/>
          <w:bCs/>
          <w:color w:val="333333"/>
          <w:lang w:bidi="ar-SA"/>
        </w:rPr>
        <w:t xml:space="preserve">Quality Improvement </w:t>
      </w:r>
      <w:r w:rsidR="00EB4150" w:rsidRPr="00EB4150">
        <w:rPr>
          <w:rFonts w:ascii="Times New Roman" w:eastAsia="Times New Roman" w:hAnsi="Times New Roman"/>
          <w:b/>
          <w:bCs/>
          <w:color w:val="333333"/>
          <w:lang w:bidi="ar-SA"/>
        </w:rPr>
        <w:t>Work Plan and Evaluation</w:t>
      </w:r>
    </w:p>
    <w:p w:rsidR="007F0E07" w:rsidRDefault="007F0E07" w:rsidP="0017648D">
      <w:pPr>
        <w:rPr>
          <w:rFonts w:ascii="Times New Roman" w:eastAsia="Times New Roman" w:hAnsi="Times New Roman"/>
          <w:b/>
          <w:bCs/>
          <w:color w:val="333333"/>
          <w:lang w:bidi="ar-SA"/>
        </w:rPr>
      </w:pPr>
    </w:p>
    <w:tbl>
      <w:tblPr>
        <w:tblStyle w:val="TableGrid"/>
        <w:tblW w:w="9648" w:type="dxa"/>
        <w:tblLayout w:type="fixed"/>
        <w:tblLook w:val="04A0"/>
      </w:tblPr>
      <w:tblGrid>
        <w:gridCol w:w="4144"/>
        <w:gridCol w:w="1274"/>
        <w:gridCol w:w="1890"/>
        <w:gridCol w:w="2340"/>
      </w:tblGrid>
      <w:tr w:rsidR="007F0E07" w:rsidTr="0057011F">
        <w:tc>
          <w:tcPr>
            <w:tcW w:w="9648" w:type="dxa"/>
            <w:gridSpan w:val="4"/>
          </w:tcPr>
          <w:p w:rsidR="00823584" w:rsidRDefault="00823584" w:rsidP="0017648D">
            <w:pPr>
              <w:rPr>
                <w:rFonts w:ascii="Times New Roman" w:eastAsia="Times New Roman" w:hAnsi="Times New Roman"/>
                <w:b/>
                <w:bCs/>
                <w:color w:val="333333"/>
                <w:sz w:val="24"/>
                <w:szCs w:val="24"/>
                <w:lang w:bidi="ar-SA"/>
              </w:rPr>
            </w:pPr>
          </w:p>
          <w:p w:rsidR="0057011F" w:rsidRDefault="007F0E07" w:rsidP="0017648D">
            <w:pPr>
              <w:rPr>
                <w:rFonts w:ascii="Times New Roman" w:eastAsia="Times New Roman" w:hAnsi="Times New Roman"/>
                <w:bCs/>
                <w:color w:val="333333"/>
                <w:sz w:val="24"/>
                <w:szCs w:val="24"/>
                <w:lang w:bidi="ar-SA"/>
              </w:rPr>
            </w:pPr>
            <w:r w:rsidRPr="007F0E07">
              <w:rPr>
                <w:rFonts w:ascii="Times New Roman" w:eastAsia="Times New Roman" w:hAnsi="Times New Roman"/>
                <w:b/>
                <w:bCs/>
                <w:color w:val="333333"/>
                <w:sz w:val="24"/>
                <w:szCs w:val="24"/>
                <w:lang w:bidi="ar-SA"/>
              </w:rPr>
              <w:t xml:space="preserve">Aim Statement:  </w:t>
            </w:r>
            <w:r w:rsidR="008F3480">
              <w:rPr>
                <w:rFonts w:ascii="Times New Roman" w:eastAsia="Times New Roman" w:hAnsi="Times New Roman"/>
                <w:bCs/>
                <w:color w:val="333333"/>
                <w:sz w:val="24"/>
                <w:szCs w:val="24"/>
                <w:lang w:bidi="ar-SA"/>
              </w:rPr>
              <w:t>By November 2012, 90</w:t>
            </w:r>
            <w:r w:rsidRPr="007F0E07">
              <w:rPr>
                <w:rFonts w:ascii="Times New Roman" w:eastAsia="Times New Roman" w:hAnsi="Times New Roman"/>
                <w:bCs/>
                <w:color w:val="333333"/>
                <w:sz w:val="24"/>
                <w:szCs w:val="24"/>
                <w:lang w:bidi="ar-SA"/>
              </w:rPr>
              <w:t xml:space="preserve">% of health </w:t>
            </w:r>
            <w:r w:rsidR="00B35153">
              <w:rPr>
                <w:rFonts w:ascii="Times New Roman" w:eastAsia="Times New Roman" w:hAnsi="Times New Roman"/>
                <w:bCs/>
                <w:color w:val="333333"/>
                <w:sz w:val="24"/>
                <w:szCs w:val="24"/>
                <w:lang w:bidi="ar-SA"/>
              </w:rPr>
              <w:t xml:space="preserve">problems </w:t>
            </w:r>
            <w:r w:rsidRPr="007F0E07">
              <w:rPr>
                <w:rFonts w:ascii="Times New Roman" w:eastAsia="Times New Roman" w:hAnsi="Times New Roman"/>
                <w:bCs/>
                <w:color w:val="333333"/>
                <w:sz w:val="24"/>
                <w:szCs w:val="24"/>
                <w:lang w:bidi="ar-SA"/>
              </w:rPr>
              <w:t xml:space="preserve">and environmental health hazards will be investigated within twenty-four hours after initial notification to Fillmore County Public Health or referred to appropriate partnering agencies.  </w:t>
            </w:r>
          </w:p>
          <w:p w:rsidR="00823584" w:rsidRPr="0057011F" w:rsidRDefault="00823584" w:rsidP="0017648D">
            <w:pPr>
              <w:rPr>
                <w:rFonts w:ascii="Times New Roman" w:eastAsia="Times New Roman" w:hAnsi="Times New Roman"/>
                <w:bCs/>
                <w:color w:val="333333"/>
                <w:sz w:val="24"/>
                <w:szCs w:val="24"/>
                <w:lang w:bidi="ar-SA"/>
              </w:rPr>
            </w:pPr>
          </w:p>
        </w:tc>
      </w:tr>
      <w:tr w:rsidR="0023189C" w:rsidTr="00823584">
        <w:tc>
          <w:tcPr>
            <w:tcW w:w="4144" w:type="dxa"/>
            <w:vAlign w:val="center"/>
          </w:tcPr>
          <w:p w:rsidR="007F0E07" w:rsidRDefault="007F0E07" w:rsidP="00823584">
            <w:pPr>
              <w:jc w:val="center"/>
              <w:rPr>
                <w:rFonts w:ascii="Times New Roman" w:eastAsia="Times New Roman" w:hAnsi="Times New Roman"/>
                <w:b/>
                <w:bCs/>
                <w:color w:val="333333"/>
                <w:lang w:bidi="ar-SA"/>
              </w:rPr>
            </w:pPr>
            <w:r>
              <w:rPr>
                <w:rFonts w:ascii="Times New Roman" w:eastAsia="Times New Roman" w:hAnsi="Times New Roman"/>
                <w:b/>
                <w:bCs/>
                <w:color w:val="333333"/>
                <w:lang w:bidi="ar-SA"/>
              </w:rPr>
              <w:t>Activit</w:t>
            </w:r>
            <w:r w:rsidR="008F3480">
              <w:rPr>
                <w:rFonts w:ascii="Times New Roman" w:eastAsia="Times New Roman" w:hAnsi="Times New Roman"/>
                <w:b/>
                <w:bCs/>
                <w:color w:val="333333"/>
                <w:lang w:bidi="ar-SA"/>
              </w:rPr>
              <w:t>ies</w:t>
            </w:r>
          </w:p>
        </w:tc>
        <w:tc>
          <w:tcPr>
            <w:tcW w:w="1274" w:type="dxa"/>
            <w:vAlign w:val="center"/>
          </w:tcPr>
          <w:p w:rsidR="007F0E07" w:rsidRDefault="007F0E07" w:rsidP="00823584">
            <w:pPr>
              <w:jc w:val="center"/>
              <w:rPr>
                <w:rFonts w:ascii="Times New Roman" w:eastAsia="Times New Roman" w:hAnsi="Times New Roman"/>
                <w:b/>
                <w:bCs/>
                <w:color w:val="333333"/>
                <w:lang w:bidi="ar-SA"/>
              </w:rPr>
            </w:pPr>
            <w:r>
              <w:rPr>
                <w:rFonts w:ascii="Times New Roman" w:eastAsia="Times New Roman" w:hAnsi="Times New Roman"/>
                <w:b/>
                <w:bCs/>
                <w:color w:val="333333"/>
                <w:lang w:bidi="ar-SA"/>
              </w:rPr>
              <w:t>Timeline</w:t>
            </w:r>
          </w:p>
        </w:tc>
        <w:tc>
          <w:tcPr>
            <w:tcW w:w="1890" w:type="dxa"/>
            <w:vAlign w:val="center"/>
          </w:tcPr>
          <w:p w:rsidR="00823584" w:rsidRDefault="00171BBD" w:rsidP="00823584">
            <w:pPr>
              <w:jc w:val="center"/>
              <w:rPr>
                <w:rFonts w:ascii="Times New Roman" w:eastAsia="Times New Roman" w:hAnsi="Times New Roman"/>
                <w:b/>
                <w:bCs/>
                <w:color w:val="333333"/>
                <w:lang w:bidi="ar-SA"/>
              </w:rPr>
            </w:pPr>
            <w:r>
              <w:rPr>
                <w:rFonts w:ascii="Times New Roman" w:eastAsia="Times New Roman" w:hAnsi="Times New Roman"/>
                <w:b/>
                <w:bCs/>
                <w:color w:val="333333"/>
                <w:lang w:bidi="ar-SA"/>
              </w:rPr>
              <w:t>Outcome</w:t>
            </w:r>
          </w:p>
          <w:p w:rsidR="00823584" w:rsidRDefault="00171BBD" w:rsidP="00823584">
            <w:pPr>
              <w:jc w:val="center"/>
              <w:rPr>
                <w:rFonts w:ascii="Times New Roman" w:eastAsia="Times New Roman" w:hAnsi="Times New Roman"/>
                <w:b/>
                <w:bCs/>
                <w:color w:val="333333"/>
                <w:lang w:bidi="ar-SA"/>
              </w:rPr>
            </w:pPr>
            <w:r>
              <w:rPr>
                <w:rFonts w:ascii="Times New Roman" w:eastAsia="Times New Roman" w:hAnsi="Times New Roman"/>
                <w:b/>
                <w:bCs/>
                <w:color w:val="333333"/>
                <w:lang w:bidi="ar-SA"/>
              </w:rPr>
              <w:t>Evaluation</w:t>
            </w:r>
          </w:p>
          <w:p w:rsidR="00823584" w:rsidRDefault="00823584" w:rsidP="00823584">
            <w:pPr>
              <w:jc w:val="center"/>
              <w:rPr>
                <w:rFonts w:ascii="Times New Roman" w:eastAsia="Times New Roman" w:hAnsi="Times New Roman"/>
                <w:b/>
                <w:bCs/>
                <w:color w:val="333333"/>
                <w:lang w:bidi="ar-SA"/>
              </w:rPr>
            </w:pPr>
          </w:p>
        </w:tc>
        <w:tc>
          <w:tcPr>
            <w:tcW w:w="2340" w:type="dxa"/>
            <w:vAlign w:val="center"/>
          </w:tcPr>
          <w:p w:rsidR="00823584" w:rsidRDefault="007F0E07" w:rsidP="00823584">
            <w:pPr>
              <w:jc w:val="center"/>
              <w:rPr>
                <w:rFonts w:ascii="Times New Roman" w:eastAsia="Times New Roman" w:hAnsi="Times New Roman"/>
                <w:b/>
                <w:bCs/>
                <w:color w:val="333333"/>
                <w:lang w:bidi="ar-SA"/>
              </w:rPr>
            </w:pPr>
            <w:r>
              <w:rPr>
                <w:rFonts w:ascii="Times New Roman" w:eastAsia="Times New Roman" w:hAnsi="Times New Roman"/>
                <w:b/>
                <w:bCs/>
                <w:color w:val="333333"/>
                <w:lang w:bidi="ar-SA"/>
              </w:rPr>
              <w:t xml:space="preserve">PHAB </w:t>
            </w:r>
            <w:r w:rsidR="00585E8B">
              <w:rPr>
                <w:rFonts w:ascii="Times New Roman" w:eastAsia="Times New Roman" w:hAnsi="Times New Roman"/>
                <w:b/>
                <w:bCs/>
                <w:color w:val="333333"/>
                <w:lang w:bidi="ar-SA"/>
              </w:rPr>
              <w:t>Measure</w:t>
            </w:r>
          </w:p>
        </w:tc>
      </w:tr>
      <w:tr w:rsidR="0023189C" w:rsidTr="0057011F">
        <w:tc>
          <w:tcPr>
            <w:tcW w:w="4144" w:type="dxa"/>
          </w:tcPr>
          <w:p w:rsidR="007F0E07" w:rsidRDefault="00B35153" w:rsidP="0057011F">
            <w:pPr>
              <w:shd w:val="clear" w:color="auto" w:fill="FFFFFF"/>
              <w:outlineLvl w:val="5"/>
              <w:rPr>
                <w:rFonts w:ascii="Times New Roman" w:eastAsia="Times New Roman" w:hAnsi="Times New Roman"/>
                <w:bCs/>
                <w:color w:val="333333"/>
                <w:lang w:bidi="ar-SA"/>
              </w:rPr>
            </w:pPr>
            <w:r>
              <w:rPr>
                <w:rFonts w:ascii="Times New Roman" w:eastAsia="Times New Roman" w:hAnsi="Times New Roman"/>
                <w:bCs/>
                <w:color w:val="333333"/>
                <w:lang w:bidi="ar-SA"/>
              </w:rPr>
              <w:t xml:space="preserve">Collaborate with local and state partners to </w:t>
            </w:r>
            <w:r w:rsidR="00F5113B">
              <w:rPr>
                <w:rFonts w:ascii="Times New Roman" w:eastAsia="Times New Roman" w:hAnsi="Times New Roman"/>
                <w:bCs/>
                <w:color w:val="333333"/>
                <w:lang w:bidi="ar-SA"/>
              </w:rPr>
              <w:t xml:space="preserve">develop a flow chart </w:t>
            </w:r>
            <w:r>
              <w:rPr>
                <w:rFonts w:ascii="Times New Roman" w:eastAsia="Times New Roman" w:hAnsi="Times New Roman"/>
                <w:bCs/>
                <w:color w:val="333333"/>
                <w:lang w:bidi="ar-SA"/>
              </w:rPr>
              <w:t>del</w:t>
            </w:r>
            <w:r w:rsidR="00F5113B">
              <w:rPr>
                <w:rFonts w:ascii="Times New Roman" w:eastAsia="Times New Roman" w:hAnsi="Times New Roman"/>
                <w:bCs/>
                <w:color w:val="333333"/>
                <w:lang w:bidi="ar-SA"/>
              </w:rPr>
              <w:t>ineating roles and coordinating</w:t>
            </w:r>
            <w:r>
              <w:rPr>
                <w:rFonts w:ascii="Times New Roman" w:eastAsia="Times New Roman" w:hAnsi="Times New Roman"/>
                <w:bCs/>
                <w:color w:val="333333"/>
                <w:lang w:bidi="ar-SA"/>
              </w:rPr>
              <w:t xml:space="preserve"> standard operating procedures for health problems</w:t>
            </w:r>
            <w:r w:rsidR="00F5113B">
              <w:rPr>
                <w:rFonts w:ascii="Times New Roman" w:eastAsia="Times New Roman" w:hAnsi="Times New Roman"/>
                <w:bCs/>
                <w:color w:val="333333"/>
                <w:lang w:bidi="ar-SA"/>
              </w:rPr>
              <w:t xml:space="preserve"> and environmental health hazards</w:t>
            </w:r>
            <w:r w:rsidR="0011063D">
              <w:rPr>
                <w:rFonts w:ascii="Times New Roman" w:eastAsia="Times New Roman" w:hAnsi="Times New Roman"/>
                <w:bCs/>
                <w:color w:val="333333"/>
                <w:lang w:bidi="ar-SA"/>
              </w:rPr>
              <w:t xml:space="preserve"> in Fillmore County</w:t>
            </w:r>
            <w:r w:rsidR="00F5113B">
              <w:rPr>
                <w:rFonts w:ascii="Times New Roman" w:eastAsia="Times New Roman" w:hAnsi="Times New Roman"/>
                <w:bCs/>
                <w:color w:val="333333"/>
                <w:lang w:bidi="ar-SA"/>
              </w:rPr>
              <w:t>.</w:t>
            </w:r>
          </w:p>
          <w:p w:rsidR="0057011F" w:rsidRPr="0057011F" w:rsidRDefault="0057011F" w:rsidP="0057011F">
            <w:pPr>
              <w:shd w:val="clear" w:color="auto" w:fill="FFFFFF"/>
              <w:outlineLvl w:val="5"/>
              <w:rPr>
                <w:rFonts w:ascii="Times New Roman" w:eastAsia="Times New Roman" w:hAnsi="Times New Roman"/>
                <w:bCs/>
                <w:color w:val="333333"/>
                <w:lang w:bidi="ar-SA"/>
              </w:rPr>
            </w:pPr>
          </w:p>
        </w:tc>
        <w:tc>
          <w:tcPr>
            <w:tcW w:w="1274" w:type="dxa"/>
          </w:tcPr>
          <w:p w:rsidR="00286D7A" w:rsidRDefault="000A193A" w:rsidP="000A193A">
            <w:pPr>
              <w:jc w:val="center"/>
              <w:rPr>
                <w:rFonts w:ascii="Times New Roman" w:eastAsia="Times New Roman" w:hAnsi="Times New Roman"/>
                <w:bCs/>
                <w:color w:val="333333"/>
                <w:lang w:bidi="ar-SA"/>
              </w:rPr>
            </w:pPr>
            <w:r w:rsidRPr="000A193A">
              <w:rPr>
                <w:rFonts w:ascii="Times New Roman" w:eastAsia="Times New Roman" w:hAnsi="Times New Roman"/>
                <w:bCs/>
                <w:color w:val="333333"/>
                <w:lang w:bidi="ar-SA"/>
              </w:rPr>
              <w:t xml:space="preserve">4/1/2012 </w:t>
            </w:r>
          </w:p>
          <w:p w:rsidR="007F0E07" w:rsidRPr="000A193A" w:rsidRDefault="000A193A" w:rsidP="000A193A">
            <w:pPr>
              <w:jc w:val="center"/>
              <w:rPr>
                <w:rFonts w:ascii="Times New Roman" w:eastAsia="Times New Roman" w:hAnsi="Times New Roman"/>
                <w:bCs/>
                <w:color w:val="333333"/>
                <w:lang w:bidi="ar-SA"/>
              </w:rPr>
            </w:pPr>
            <w:r w:rsidRPr="000A193A">
              <w:rPr>
                <w:rFonts w:ascii="Times New Roman" w:eastAsia="Times New Roman" w:hAnsi="Times New Roman"/>
                <w:bCs/>
                <w:color w:val="333333"/>
                <w:lang w:bidi="ar-SA"/>
              </w:rPr>
              <w:t>to 6/30/2012</w:t>
            </w:r>
          </w:p>
        </w:tc>
        <w:tc>
          <w:tcPr>
            <w:tcW w:w="1890" w:type="dxa"/>
          </w:tcPr>
          <w:p w:rsidR="006A3387" w:rsidRPr="00171BBD" w:rsidRDefault="00171BBD" w:rsidP="0017648D">
            <w:pPr>
              <w:rPr>
                <w:rFonts w:ascii="Times New Roman" w:eastAsia="Times New Roman" w:hAnsi="Times New Roman"/>
                <w:bCs/>
                <w:color w:val="333333"/>
                <w:lang w:bidi="ar-SA"/>
              </w:rPr>
            </w:pPr>
            <w:r w:rsidRPr="00171BBD">
              <w:rPr>
                <w:rFonts w:ascii="Times New Roman" w:eastAsia="Times New Roman" w:hAnsi="Times New Roman"/>
                <w:bCs/>
                <w:color w:val="333333"/>
                <w:lang w:bidi="ar-SA"/>
              </w:rPr>
              <w:t>Completion of flow chart.</w:t>
            </w:r>
          </w:p>
        </w:tc>
        <w:tc>
          <w:tcPr>
            <w:tcW w:w="2340" w:type="dxa"/>
          </w:tcPr>
          <w:p w:rsidR="007F0E07" w:rsidRDefault="007F0E07" w:rsidP="0017648D">
            <w:pPr>
              <w:rPr>
                <w:rFonts w:ascii="Times New Roman" w:eastAsia="Times New Roman" w:hAnsi="Times New Roman"/>
                <w:b/>
                <w:bCs/>
                <w:color w:val="333333"/>
                <w:lang w:bidi="ar-SA"/>
              </w:rPr>
            </w:pPr>
            <w:r>
              <w:rPr>
                <w:rFonts w:ascii="Times New Roman" w:eastAsia="Times New Roman" w:hAnsi="Times New Roman"/>
                <w:bCs/>
                <w:color w:val="333333"/>
                <w:lang w:bidi="ar-SA"/>
              </w:rPr>
              <w:t xml:space="preserve">2.1.A </w:t>
            </w:r>
            <w:r w:rsidR="00B35153">
              <w:rPr>
                <w:rFonts w:ascii="Times New Roman" w:eastAsia="Times New Roman" w:hAnsi="Times New Roman"/>
                <w:bCs/>
                <w:color w:val="333333"/>
                <w:lang w:bidi="ar-SA"/>
              </w:rPr>
              <w:t>- Maintain protocols for investigation process.</w:t>
            </w:r>
          </w:p>
        </w:tc>
      </w:tr>
      <w:tr w:rsidR="0023189C" w:rsidTr="0057011F">
        <w:tc>
          <w:tcPr>
            <w:tcW w:w="4144" w:type="dxa"/>
          </w:tcPr>
          <w:p w:rsidR="00935ED2" w:rsidRPr="0011063D" w:rsidRDefault="00935ED2" w:rsidP="001B49EE">
            <w:pPr>
              <w:rPr>
                <w:rFonts w:ascii="Times New Roman" w:eastAsia="Times New Roman" w:hAnsi="Times New Roman"/>
                <w:bCs/>
                <w:color w:val="333333"/>
                <w:lang w:bidi="ar-SA"/>
              </w:rPr>
            </w:pPr>
            <w:r w:rsidRPr="0011063D">
              <w:rPr>
                <w:rFonts w:ascii="Times New Roman" w:eastAsia="Times New Roman" w:hAnsi="Times New Roman"/>
                <w:bCs/>
                <w:color w:val="333333"/>
                <w:lang w:bidi="ar-SA"/>
              </w:rPr>
              <w:t>Condense partner agreements</w:t>
            </w:r>
            <w:r>
              <w:rPr>
                <w:rFonts w:ascii="Times New Roman" w:eastAsia="Times New Roman" w:hAnsi="Times New Roman"/>
                <w:bCs/>
                <w:color w:val="333333"/>
                <w:lang w:bidi="ar-SA"/>
              </w:rPr>
              <w:t xml:space="preserve">, applicable legal references, </w:t>
            </w:r>
            <w:r w:rsidRPr="0011063D">
              <w:rPr>
                <w:rFonts w:ascii="Times New Roman" w:eastAsia="Times New Roman" w:hAnsi="Times New Roman"/>
                <w:bCs/>
                <w:color w:val="333333"/>
                <w:lang w:bidi="ar-SA"/>
              </w:rPr>
              <w:t>and incident management</w:t>
            </w:r>
            <w:r>
              <w:rPr>
                <w:rFonts w:ascii="Times New Roman" w:eastAsia="Times New Roman" w:hAnsi="Times New Roman"/>
                <w:bCs/>
                <w:color w:val="333333"/>
                <w:lang w:bidi="ar-SA"/>
              </w:rPr>
              <w:t xml:space="preserve"> guidelines</w:t>
            </w:r>
            <w:r w:rsidRPr="0011063D">
              <w:rPr>
                <w:rFonts w:ascii="Times New Roman" w:eastAsia="Times New Roman" w:hAnsi="Times New Roman"/>
                <w:bCs/>
                <w:color w:val="333333"/>
                <w:lang w:bidi="ar-SA"/>
              </w:rPr>
              <w:t xml:space="preserve"> into a single reference for health problems and environmental health hazards. </w:t>
            </w:r>
          </w:p>
        </w:tc>
        <w:tc>
          <w:tcPr>
            <w:tcW w:w="1274" w:type="dxa"/>
          </w:tcPr>
          <w:p w:rsidR="00286D7A" w:rsidRDefault="000A193A" w:rsidP="000A193A">
            <w:pPr>
              <w:jc w:val="center"/>
              <w:rPr>
                <w:rFonts w:ascii="Times New Roman" w:eastAsia="Times New Roman" w:hAnsi="Times New Roman"/>
                <w:bCs/>
                <w:color w:val="333333"/>
                <w:lang w:bidi="ar-SA"/>
              </w:rPr>
            </w:pPr>
            <w:r w:rsidRPr="000A193A">
              <w:rPr>
                <w:rFonts w:ascii="Times New Roman" w:eastAsia="Times New Roman" w:hAnsi="Times New Roman"/>
                <w:bCs/>
                <w:color w:val="333333"/>
                <w:lang w:bidi="ar-SA"/>
              </w:rPr>
              <w:t xml:space="preserve">4/1/2012 </w:t>
            </w:r>
          </w:p>
          <w:p w:rsidR="00935ED2" w:rsidRDefault="000A193A" w:rsidP="000A193A">
            <w:pPr>
              <w:jc w:val="center"/>
              <w:rPr>
                <w:rFonts w:ascii="Times New Roman" w:eastAsia="Times New Roman" w:hAnsi="Times New Roman"/>
                <w:b/>
                <w:bCs/>
                <w:color w:val="333333"/>
                <w:lang w:bidi="ar-SA"/>
              </w:rPr>
            </w:pPr>
            <w:r w:rsidRPr="000A193A">
              <w:rPr>
                <w:rFonts w:ascii="Times New Roman" w:eastAsia="Times New Roman" w:hAnsi="Times New Roman"/>
                <w:bCs/>
                <w:color w:val="333333"/>
                <w:lang w:bidi="ar-SA"/>
              </w:rPr>
              <w:t>to 6/30/2012</w:t>
            </w:r>
          </w:p>
        </w:tc>
        <w:tc>
          <w:tcPr>
            <w:tcW w:w="1890" w:type="dxa"/>
          </w:tcPr>
          <w:p w:rsidR="00935ED2" w:rsidRPr="00171BBD" w:rsidRDefault="00171BBD" w:rsidP="001B49EE">
            <w:pPr>
              <w:rPr>
                <w:rFonts w:ascii="Times New Roman" w:eastAsia="Times New Roman" w:hAnsi="Times New Roman"/>
                <w:bCs/>
                <w:color w:val="333333"/>
                <w:lang w:bidi="ar-SA"/>
              </w:rPr>
            </w:pPr>
            <w:r w:rsidRPr="00171BBD">
              <w:rPr>
                <w:rFonts w:ascii="Times New Roman" w:eastAsia="Times New Roman" w:hAnsi="Times New Roman"/>
                <w:bCs/>
                <w:color w:val="333333"/>
                <w:lang w:bidi="ar-SA"/>
              </w:rPr>
              <w:t>Completion of reference guide.</w:t>
            </w:r>
          </w:p>
        </w:tc>
        <w:tc>
          <w:tcPr>
            <w:tcW w:w="2340" w:type="dxa"/>
          </w:tcPr>
          <w:p w:rsidR="00935ED2" w:rsidRDefault="008F1017" w:rsidP="008F1017">
            <w:pPr>
              <w:shd w:val="clear" w:color="auto" w:fill="FFFFFF"/>
              <w:outlineLvl w:val="5"/>
              <w:rPr>
                <w:rFonts w:ascii="Times New Roman" w:eastAsia="Times New Roman" w:hAnsi="Times New Roman"/>
                <w:bCs/>
                <w:color w:val="333333"/>
                <w:lang w:bidi="ar-SA"/>
              </w:rPr>
            </w:pPr>
            <w:r>
              <w:rPr>
                <w:rFonts w:ascii="Times New Roman" w:eastAsia="Times New Roman" w:hAnsi="Times New Roman"/>
                <w:bCs/>
                <w:color w:val="333333"/>
                <w:lang w:bidi="ar-SA"/>
              </w:rPr>
              <w:t xml:space="preserve">2.1.4A - </w:t>
            </w:r>
            <w:r w:rsidR="00935ED2">
              <w:rPr>
                <w:rFonts w:ascii="Times New Roman" w:eastAsia="Times New Roman" w:hAnsi="Times New Roman"/>
                <w:bCs/>
                <w:color w:val="333333"/>
                <w:lang w:bidi="ar-SA"/>
              </w:rPr>
              <w:t>Work collaboratively through established governmental and community partnerships on investigations of reportable/disease outbreaks and environmental public health issues.</w:t>
            </w:r>
          </w:p>
          <w:p w:rsidR="006B6DA6" w:rsidRDefault="006B6DA6" w:rsidP="001B49EE">
            <w:pPr>
              <w:rPr>
                <w:rFonts w:ascii="Times New Roman" w:eastAsia="Times New Roman" w:hAnsi="Times New Roman"/>
                <w:b/>
                <w:bCs/>
                <w:color w:val="333333"/>
                <w:lang w:bidi="ar-SA"/>
              </w:rPr>
            </w:pPr>
          </w:p>
          <w:p w:rsidR="00823584" w:rsidRDefault="00823584" w:rsidP="001B49EE">
            <w:pPr>
              <w:rPr>
                <w:rFonts w:ascii="Times New Roman" w:eastAsia="Times New Roman" w:hAnsi="Times New Roman"/>
                <w:b/>
                <w:bCs/>
                <w:color w:val="333333"/>
                <w:lang w:bidi="ar-SA"/>
              </w:rPr>
            </w:pPr>
          </w:p>
        </w:tc>
      </w:tr>
      <w:tr w:rsidR="00823584" w:rsidTr="004B5758">
        <w:tc>
          <w:tcPr>
            <w:tcW w:w="4144" w:type="dxa"/>
            <w:vAlign w:val="center"/>
          </w:tcPr>
          <w:p w:rsidR="00823584" w:rsidRDefault="00823584" w:rsidP="001B49EE">
            <w:pPr>
              <w:jc w:val="center"/>
              <w:rPr>
                <w:rFonts w:ascii="Times New Roman" w:eastAsia="Times New Roman" w:hAnsi="Times New Roman"/>
                <w:b/>
                <w:bCs/>
                <w:color w:val="333333"/>
                <w:lang w:bidi="ar-SA"/>
              </w:rPr>
            </w:pPr>
            <w:r>
              <w:rPr>
                <w:rFonts w:ascii="Times New Roman" w:eastAsia="Times New Roman" w:hAnsi="Times New Roman"/>
                <w:b/>
                <w:bCs/>
                <w:color w:val="333333"/>
                <w:lang w:bidi="ar-SA"/>
              </w:rPr>
              <w:lastRenderedPageBreak/>
              <w:t>Activities</w:t>
            </w:r>
          </w:p>
        </w:tc>
        <w:tc>
          <w:tcPr>
            <w:tcW w:w="1274" w:type="dxa"/>
            <w:vAlign w:val="center"/>
          </w:tcPr>
          <w:p w:rsidR="00823584" w:rsidRDefault="00823584" w:rsidP="001B49EE">
            <w:pPr>
              <w:jc w:val="center"/>
              <w:rPr>
                <w:rFonts w:ascii="Times New Roman" w:eastAsia="Times New Roman" w:hAnsi="Times New Roman"/>
                <w:b/>
                <w:bCs/>
                <w:color w:val="333333"/>
                <w:lang w:bidi="ar-SA"/>
              </w:rPr>
            </w:pPr>
            <w:r>
              <w:rPr>
                <w:rFonts w:ascii="Times New Roman" w:eastAsia="Times New Roman" w:hAnsi="Times New Roman"/>
                <w:b/>
                <w:bCs/>
                <w:color w:val="333333"/>
                <w:lang w:bidi="ar-SA"/>
              </w:rPr>
              <w:t>Timeline</w:t>
            </w:r>
          </w:p>
        </w:tc>
        <w:tc>
          <w:tcPr>
            <w:tcW w:w="1890" w:type="dxa"/>
            <w:vAlign w:val="center"/>
          </w:tcPr>
          <w:p w:rsidR="00823584" w:rsidRDefault="00823584" w:rsidP="001B49EE">
            <w:pPr>
              <w:jc w:val="center"/>
              <w:rPr>
                <w:rFonts w:ascii="Times New Roman" w:eastAsia="Times New Roman" w:hAnsi="Times New Roman"/>
                <w:b/>
                <w:bCs/>
                <w:color w:val="333333"/>
                <w:lang w:bidi="ar-SA"/>
              </w:rPr>
            </w:pPr>
            <w:r>
              <w:rPr>
                <w:rFonts w:ascii="Times New Roman" w:eastAsia="Times New Roman" w:hAnsi="Times New Roman"/>
                <w:b/>
                <w:bCs/>
                <w:color w:val="333333"/>
                <w:lang w:bidi="ar-SA"/>
              </w:rPr>
              <w:t>Outcome</w:t>
            </w:r>
          </w:p>
          <w:p w:rsidR="00823584" w:rsidRDefault="00823584" w:rsidP="001B49EE">
            <w:pPr>
              <w:jc w:val="center"/>
              <w:rPr>
                <w:rFonts w:ascii="Times New Roman" w:eastAsia="Times New Roman" w:hAnsi="Times New Roman"/>
                <w:b/>
                <w:bCs/>
                <w:color w:val="333333"/>
                <w:lang w:bidi="ar-SA"/>
              </w:rPr>
            </w:pPr>
            <w:r>
              <w:rPr>
                <w:rFonts w:ascii="Times New Roman" w:eastAsia="Times New Roman" w:hAnsi="Times New Roman"/>
                <w:b/>
                <w:bCs/>
                <w:color w:val="333333"/>
                <w:lang w:bidi="ar-SA"/>
              </w:rPr>
              <w:t>Evaluation</w:t>
            </w:r>
          </w:p>
          <w:p w:rsidR="00823584" w:rsidRDefault="00823584" w:rsidP="001B49EE">
            <w:pPr>
              <w:jc w:val="center"/>
              <w:rPr>
                <w:rFonts w:ascii="Times New Roman" w:eastAsia="Times New Roman" w:hAnsi="Times New Roman"/>
                <w:b/>
                <w:bCs/>
                <w:color w:val="333333"/>
                <w:lang w:bidi="ar-SA"/>
              </w:rPr>
            </w:pPr>
          </w:p>
        </w:tc>
        <w:tc>
          <w:tcPr>
            <w:tcW w:w="2340" w:type="dxa"/>
            <w:vAlign w:val="center"/>
          </w:tcPr>
          <w:p w:rsidR="00823584" w:rsidRDefault="00823584" w:rsidP="001B49EE">
            <w:pPr>
              <w:jc w:val="center"/>
              <w:rPr>
                <w:rFonts w:ascii="Times New Roman" w:eastAsia="Times New Roman" w:hAnsi="Times New Roman"/>
                <w:b/>
                <w:bCs/>
                <w:color w:val="333333"/>
                <w:lang w:bidi="ar-SA"/>
              </w:rPr>
            </w:pPr>
            <w:r>
              <w:rPr>
                <w:rFonts w:ascii="Times New Roman" w:eastAsia="Times New Roman" w:hAnsi="Times New Roman"/>
                <w:b/>
                <w:bCs/>
                <w:color w:val="333333"/>
                <w:lang w:bidi="ar-SA"/>
              </w:rPr>
              <w:t>PHAB Measure</w:t>
            </w:r>
          </w:p>
        </w:tc>
      </w:tr>
      <w:tr w:rsidR="00823584" w:rsidTr="0057011F">
        <w:tc>
          <w:tcPr>
            <w:tcW w:w="4144" w:type="dxa"/>
          </w:tcPr>
          <w:p w:rsidR="00823584" w:rsidRPr="00B47DCC" w:rsidRDefault="00823584" w:rsidP="001B49EE">
            <w:pPr>
              <w:rPr>
                <w:rFonts w:ascii="Times New Roman" w:eastAsia="Times New Roman" w:hAnsi="Times New Roman"/>
                <w:bCs/>
                <w:color w:val="333333"/>
                <w:lang w:bidi="ar-SA"/>
              </w:rPr>
            </w:pPr>
            <w:r w:rsidRPr="00B47DCC">
              <w:rPr>
                <w:rFonts w:ascii="Times New Roman" w:eastAsia="Times New Roman" w:hAnsi="Times New Roman"/>
                <w:bCs/>
                <w:color w:val="333333"/>
                <w:lang w:bidi="ar-SA"/>
              </w:rPr>
              <w:t>Develop a track</w:t>
            </w:r>
            <w:r>
              <w:rPr>
                <w:rFonts w:ascii="Times New Roman" w:eastAsia="Times New Roman" w:hAnsi="Times New Roman"/>
                <w:bCs/>
                <w:color w:val="333333"/>
                <w:lang w:bidi="ar-SA"/>
              </w:rPr>
              <w:t>ing system</w:t>
            </w:r>
            <w:r w:rsidRPr="00B47DCC">
              <w:rPr>
                <w:rFonts w:ascii="Times New Roman" w:eastAsia="Times New Roman" w:hAnsi="Times New Roman"/>
                <w:bCs/>
                <w:color w:val="333333"/>
                <w:lang w:bidi="ar-SA"/>
              </w:rPr>
              <w:t xml:space="preserve"> for recording laboratory reports, investigation results, and referral outcomes for health problems and environmental health hazards.</w:t>
            </w:r>
          </w:p>
        </w:tc>
        <w:tc>
          <w:tcPr>
            <w:tcW w:w="1274" w:type="dxa"/>
          </w:tcPr>
          <w:p w:rsidR="00823584" w:rsidRPr="000A193A" w:rsidRDefault="00823584" w:rsidP="001B49EE">
            <w:pPr>
              <w:rPr>
                <w:rFonts w:ascii="Times New Roman" w:eastAsia="Times New Roman" w:hAnsi="Times New Roman"/>
                <w:bCs/>
                <w:color w:val="333333"/>
                <w:lang w:bidi="ar-SA"/>
              </w:rPr>
            </w:pPr>
            <w:r w:rsidRPr="000A193A">
              <w:rPr>
                <w:rFonts w:ascii="Times New Roman" w:eastAsia="Times New Roman" w:hAnsi="Times New Roman"/>
                <w:bCs/>
                <w:color w:val="333333"/>
                <w:lang w:bidi="ar-SA"/>
              </w:rPr>
              <w:t>7/31/2012</w:t>
            </w:r>
          </w:p>
        </w:tc>
        <w:tc>
          <w:tcPr>
            <w:tcW w:w="1890" w:type="dxa"/>
          </w:tcPr>
          <w:p w:rsidR="00823584" w:rsidRDefault="00823584" w:rsidP="001B49EE">
            <w:pPr>
              <w:rPr>
                <w:rFonts w:ascii="Times New Roman" w:eastAsia="Times New Roman" w:hAnsi="Times New Roman"/>
                <w:bCs/>
                <w:color w:val="333333"/>
                <w:lang w:bidi="ar-SA"/>
              </w:rPr>
            </w:pPr>
            <w:r w:rsidRPr="00171BBD">
              <w:rPr>
                <w:rFonts w:ascii="Times New Roman" w:eastAsia="Times New Roman" w:hAnsi="Times New Roman"/>
                <w:bCs/>
                <w:color w:val="333333"/>
                <w:lang w:bidi="ar-SA"/>
              </w:rPr>
              <w:t xml:space="preserve">Completion of </w:t>
            </w:r>
          </w:p>
          <w:p w:rsidR="00823584" w:rsidRPr="00171BBD" w:rsidRDefault="00823584" w:rsidP="001B49EE">
            <w:pPr>
              <w:rPr>
                <w:rFonts w:ascii="Times New Roman" w:eastAsia="Times New Roman" w:hAnsi="Times New Roman"/>
                <w:bCs/>
                <w:color w:val="333333"/>
                <w:lang w:bidi="ar-SA"/>
              </w:rPr>
            </w:pPr>
            <w:r w:rsidRPr="00171BBD">
              <w:rPr>
                <w:rFonts w:ascii="Times New Roman" w:eastAsia="Times New Roman" w:hAnsi="Times New Roman"/>
                <w:bCs/>
                <w:color w:val="333333"/>
                <w:lang w:bidi="ar-SA"/>
              </w:rPr>
              <w:t>tracking system.</w:t>
            </w:r>
          </w:p>
        </w:tc>
        <w:tc>
          <w:tcPr>
            <w:tcW w:w="2340" w:type="dxa"/>
          </w:tcPr>
          <w:p w:rsidR="00823584" w:rsidRPr="00037495" w:rsidRDefault="00823584" w:rsidP="001B49EE">
            <w:pPr>
              <w:shd w:val="clear" w:color="auto" w:fill="FFFFFF"/>
              <w:outlineLvl w:val="5"/>
              <w:rPr>
                <w:rFonts w:ascii="Times New Roman" w:eastAsia="Times New Roman" w:hAnsi="Times New Roman"/>
                <w:bCs/>
                <w:color w:val="333333"/>
                <w:lang w:bidi="ar-SA"/>
              </w:rPr>
            </w:pPr>
            <w:r>
              <w:rPr>
                <w:rFonts w:ascii="Times New Roman" w:eastAsia="Times New Roman" w:hAnsi="Times New Roman"/>
                <w:bCs/>
                <w:color w:val="333333"/>
                <w:lang w:bidi="ar-SA"/>
              </w:rPr>
              <w:t>2.1.5A - Monitor timely reporting of notifiable/reportable diseases, lab test results, and investigation results.</w:t>
            </w:r>
          </w:p>
        </w:tc>
      </w:tr>
      <w:tr w:rsidR="0023189C" w:rsidTr="0057011F">
        <w:tc>
          <w:tcPr>
            <w:tcW w:w="4144" w:type="dxa"/>
          </w:tcPr>
          <w:p w:rsidR="007F0E07" w:rsidRPr="00EF7473" w:rsidRDefault="00EF7473" w:rsidP="009632BB">
            <w:pPr>
              <w:shd w:val="clear" w:color="auto" w:fill="FFFFFF"/>
              <w:outlineLvl w:val="5"/>
              <w:rPr>
                <w:rFonts w:ascii="Times New Roman" w:eastAsia="Times New Roman" w:hAnsi="Times New Roman"/>
                <w:bCs/>
                <w:color w:val="333333"/>
                <w:lang w:bidi="ar-SA"/>
              </w:rPr>
            </w:pPr>
            <w:r w:rsidRPr="00EF7473">
              <w:rPr>
                <w:rFonts w:ascii="Times New Roman" w:eastAsia="Times New Roman" w:hAnsi="Times New Roman"/>
                <w:bCs/>
                <w:color w:val="333333"/>
                <w:lang w:bidi="ar-SA"/>
              </w:rPr>
              <w:t xml:space="preserve">Implement newly developed standard operating procedures for health problems and environmental health hazards </w:t>
            </w:r>
            <w:r w:rsidR="00171BBD">
              <w:rPr>
                <w:rFonts w:ascii="Times New Roman" w:eastAsia="Times New Roman" w:hAnsi="Times New Roman"/>
                <w:bCs/>
                <w:color w:val="333333"/>
                <w:lang w:bidi="ar-SA"/>
              </w:rPr>
              <w:t xml:space="preserve">to </w:t>
            </w:r>
            <w:r w:rsidRPr="00EF7473">
              <w:rPr>
                <w:rFonts w:ascii="Times New Roman" w:eastAsia="Times New Roman" w:hAnsi="Times New Roman"/>
                <w:bCs/>
                <w:color w:val="333333"/>
                <w:lang w:bidi="ar-SA"/>
              </w:rPr>
              <w:t>infectious or communicable disease cases</w:t>
            </w:r>
            <w:r w:rsidR="00171BBD">
              <w:rPr>
                <w:rFonts w:ascii="Times New Roman" w:eastAsia="Times New Roman" w:hAnsi="Times New Roman"/>
                <w:bCs/>
                <w:color w:val="333333"/>
                <w:lang w:bidi="ar-SA"/>
              </w:rPr>
              <w:t xml:space="preserve"> and track results</w:t>
            </w:r>
            <w:r w:rsidRPr="00EF7473">
              <w:rPr>
                <w:rFonts w:ascii="Times New Roman" w:eastAsia="Times New Roman" w:hAnsi="Times New Roman"/>
                <w:bCs/>
                <w:color w:val="333333"/>
                <w:lang w:bidi="ar-SA"/>
              </w:rPr>
              <w:t>.</w:t>
            </w:r>
          </w:p>
        </w:tc>
        <w:tc>
          <w:tcPr>
            <w:tcW w:w="1274" w:type="dxa"/>
          </w:tcPr>
          <w:p w:rsidR="00286D7A" w:rsidRDefault="000A193A" w:rsidP="000A193A">
            <w:pPr>
              <w:jc w:val="center"/>
              <w:rPr>
                <w:rFonts w:ascii="Times New Roman" w:eastAsia="Times New Roman" w:hAnsi="Times New Roman"/>
                <w:bCs/>
                <w:color w:val="333333"/>
                <w:lang w:bidi="ar-SA"/>
              </w:rPr>
            </w:pPr>
            <w:r w:rsidRPr="000A193A">
              <w:rPr>
                <w:rFonts w:ascii="Times New Roman" w:eastAsia="Times New Roman" w:hAnsi="Times New Roman"/>
                <w:bCs/>
                <w:color w:val="333333"/>
                <w:lang w:bidi="ar-SA"/>
              </w:rPr>
              <w:t xml:space="preserve">8/1/2012 </w:t>
            </w:r>
          </w:p>
          <w:p w:rsidR="007F0E07" w:rsidRPr="000A193A" w:rsidRDefault="000A193A" w:rsidP="000A193A">
            <w:pPr>
              <w:jc w:val="center"/>
              <w:rPr>
                <w:rFonts w:ascii="Times New Roman" w:eastAsia="Times New Roman" w:hAnsi="Times New Roman"/>
                <w:bCs/>
                <w:color w:val="333333"/>
                <w:lang w:bidi="ar-SA"/>
              </w:rPr>
            </w:pPr>
            <w:r w:rsidRPr="000A193A">
              <w:rPr>
                <w:rFonts w:ascii="Times New Roman" w:eastAsia="Times New Roman" w:hAnsi="Times New Roman"/>
                <w:bCs/>
                <w:color w:val="333333"/>
                <w:lang w:bidi="ar-SA"/>
              </w:rPr>
              <w:t xml:space="preserve">to </w:t>
            </w:r>
            <w:r w:rsidR="006A75AC">
              <w:rPr>
                <w:rFonts w:ascii="Times New Roman" w:eastAsia="Times New Roman" w:hAnsi="Times New Roman"/>
                <w:bCs/>
                <w:color w:val="333333"/>
                <w:lang w:bidi="ar-SA"/>
              </w:rPr>
              <w:t>11/30</w:t>
            </w:r>
            <w:r w:rsidRPr="000A193A">
              <w:rPr>
                <w:rFonts w:ascii="Times New Roman" w:eastAsia="Times New Roman" w:hAnsi="Times New Roman"/>
                <w:bCs/>
                <w:color w:val="333333"/>
                <w:lang w:bidi="ar-SA"/>
              </w:rPr>
              <w:t>/2012</w:t>
            </w:r>
          </w:p>
        </w:tc>
        <w:tc>
          <w:tcPr>
            <w:tcW w:w="1890" w:type="dxa"/>
          </w:tcPr>
          <w:p w:rsidR="0023189C" w:rsidRPr="0023189C" w:rsidRDefault="0023189C" w:rsidP="0017648D">
            <w:pPr>
              <w:rPr>
                <w:rFonts w:ascii="Times New Roman" w:eastAsia="Times New Roman" w:hAnsi="Times New Roman"/>
                <w:bCs/>
                <w:color w:val="333333"/>
                <w:lang w:bidi="ar-SA"/>
              </w:rPr>
            </w:pPr>
            <w:r w:rsidRPr="0023189C">
              <w:rPr>
                <w:rFonts w:ascii="Times New Roman" w:eastAsia="Times New Roman" w:hAnsi="Times New Roman"/>
                <w:bCs/>
                <w:color w:val="333333"/>
                <w:lang w:bidi="ar-SA"/>
              </w:rPr>
              <w:t xml:space="preserve">Audit timeliness of response to cases and </w:t>
            </w:r>
            <w:r w:rsidR="0052401D">
              <w:rPr>
                <w:rFonts w:ascii="Times New Roman" w:eastAsia="Times New Roman" w:hAnsi="Times New Roman"/>
                <w:bCs/>
                <w:color w:val="333333"/>
                <w:lang w:bidi="ar-SA"/>
              </w:rPr>
              <w:t xml:space="preserve">changes in </w:t>
            </w:r>
            <w:r w:rsidRPr="0023189C">
              <w:rPr>
                <w:rFonts w:ascii="Times New Roman" w:eastAsia="Times New Roman" w:hAnsi="Times New Roman"/>
                <w:bCs/>
                <w:color w:val="333333"/>
                <w:lang w:bidi="ar-SA"/>
              </w:rPr>
              <w:t>detrimental health outcomes.</w:t>
            </w:r>
          </w:p>
          <w:p w:rsidR="007F0E07" w:rsidRDefault="007F0E07" w:rsidP="0017648D">
            <w:pPr>
              <w:rPr>
                <w:rFonts w:ascii="Times New Roman" w:eastAsia="Times New Roman" w:hAnsi="Times New Roman"/>
                <w:b/>
                <w:bCs/>
                <w:color w:val="333333"/>
                <w:lang w:bidi="ar-SA"/>
              </w:rPr>
            </w:pPr>
          </w:p>
        </w:tc>
        <w:tc>
          <w:tcPr>
            <w:tcW w:w="2340" w:type="dxa"/>
          </w:tcPr>
          <w:p w:rsidR="00B35153" w:rsidRDefault="00CF56FF" w:rsidP="00B35153">
            <w:pPr>
              <w:shd w:val="clear" w:color="auto" w:fill="FFFFFF"/>
              <w:outlineLvl w:val="5"/>
              <w:rPr>
                <w:rFonts w:ascii="Times New Roman" w:eastAsia="Times New Roman" w:hAnsi="Times New Roman"/>
                <w:bCs/>
                <w:color w:val="333333"/>
                <w:lang w:bidi="ar-SA"/>
              </w:rPr>
            </w:pPr>
            <w:r>
              <w:rPr>
                <w:rFonts w:ascii="Times New Roman" w:eastAsia="Times New Roman" w:hAnsi="Times New Roman"/>
                <w:bCs/>
                <w:color w:val="333333"/>
                <w:lang w:bidi="ar-SA"/>
              </w:rPr>
              <w:t>2.1.2 T/L -</w:t>
            </w:r>
            <w:r w:rsidR="00B35153">
              <w:rPr>
                <w:rFonts w:ascii="Times New Roman" w:eastAsia="Times New Roman" w:hAnsi="Times New Roman"/>
                <w:bCs/>
                <w:color w:val="333333"/>
                <w:lang w:bidi="ar-SA"/>
              </w:rPr>
              <w:t xml:space="preserve">Demonstrate capacity to conduct </w:t>
            </w:r>
            <w:r w:rsidR="00EF7473">
              <w:rPr>
                <w:rFonts w:ascii="Times New Roman" w:eastAsia="Times New Roman" w:hAnsi="Times New Roman"/>
                <w:bCs/>
                <w:color w:val="333333"/>
                <w:lang w:bidi="ar-SA"/>
              </w:rPr>
              <w:t>an investigation of an infectious or communicable disease.</w:t>
            </w:r>
          </w:p>
          <w:p w:rsidR="007F0E07" w:rsidRDefault="007F0E07" w:rsidP="0017648D">
            <w:pPr>
              <w:rPr>
                <w:rFonts w:ascii="Times New Roman" w:eastAsia="Times New Roman" w:hAnsi="Times New Roman"/>
                <w:b/>
                <w:bCs/>
                <w:color w:val="333333"/>
                <w:lang w:bidi="ar-SA"/>
              </w:rPr>
            </w:pPr>
          </w:p>
        </w:tc>
      </w:tr>
      <w:tr w:rsidR="0023189C" w:rsidTr="0057011F">
        <w:tc>
          <w:tcPr>
            <w:tcW w:w="4144" w:type="dxa"/>
          </w:tcPr>
          <w:p w:rsidR="007F0E07" w:rsidRDefault="005917C2" w:rsidP="005917C2">
            <w:pPr>
              <w:shd w:val="clear" w:color="auto" w:fill="FFFFFF"/>
              <w:outlineLvl w:val="5"/>
              <w:rPr>
                <w:rFonts w:ascii="Times New Roman" w:eastAsia="Times New Roman" w:hAnsi="Times New Roman"/>
                <w:b/>
                <w:bCs/>
                <w:color w:val="333333"/>
                <w:lang w:bidi="ar-SA"/>
              </w:rPr>
            </w:pPr>
            <w:r>
              <w:rPr>
                <w:rFonts w:ascii="Times New Roman" w:eastAsia="Times New Roman" w:hAnsi="Times New Roman"/>
                <w:bCs/>
                <w:color w:val="333333"/>
                <w:lang w:bidi="ar-SA"/>
              </w:rPr>
              <w:t xml:space="preserve">Apply </w:t>
            </w:r>
            <w:r w:rsidR="00CF56FF" w:rsidRPr="00EF7473">
              <w:rPr>
                <w:rFonts w:ascii="Times New Roman" w:eastAsia="Times New Roman" w:hAnsi="Times New Roman"/>
                <w:bCs/>
                <w:color w:val="333333"/>
                <w:lang w:bidi="ar-SA"/>
              </w:rPr>
              <w:t xml:space="preserve">newly developed standard operating procedures for health problems and environmental health hazards </w:t>
            </w:r>
            <w:r w:rsidR="00CF56FF">
              <w:rPr>
                <w:rFonts w:ascii="Times New Roman" w:eastAsia="Times New Roman" w:hAnsi="Times New Roman"/>
                <w:bCs/>
                <w:color w:val="333333"/>
                <w:lang w:bidi="ar-SA"/>
              </w:rPr>
              <w:t xml:space="preserve">to </w:t>
            </w:r>
            <w:r>
              <w:rPr>
                <w:rFonts w:ascii="Times New Roman" w:eastAsia="Times New Roman" w:hAnsi="Times New Roman"/>
                <w:bCs/>
                <w:color w:val="333333"/>
                <w:lang w:bidi="ar-SA"/>
              </w:rPr>
              <w:t>non-infectious health problems, environmental, and/or occupation public health hazards and track results.</w:t>
            </w:r>
          </w:p>
        </w:tc>
        <w:tc>
          <w:tcPr>
            <w:tcW w:w="1274" w:type="dxa"/>
          </w:tcPr>
          <w:p w:rsidR="00286D7A" w:rsidRDefault="006A75AC" w:rsidP="000A193A">
            <w:pPr>
              <w:jc w:val="center"/>
              <w:rPr>
                <w:rFonts w:ascii="Times New Roman" w:eastAsia="Times New Roman" w:hAnsi="Times New Roman"/>
                <w:bCs/>
                <w:color w:val="333333"/>
                <w:lang w:bidi="ar-SA"/>
              </w:rPr>
            </w:pPr>
            <w:r>
              <w:rPr>
                <w:rFonts w:ascii="Times New Roman" w:eastAsia="Times New Roman" w:hAnsi="Times New Roman"/>
                <w:bCs/>
                <w:color w:val="333333"/>
                <w:lang w:bidi="ar-SA"/>
              </w:rPr>
              <w:t xml:space="preserve">8/1/2012 </w:t>
            </w:r>
          </w:p>
          <w:p w:rsidR="007F0E07" w:rsidRDefault="006A75AC" w:rsidP="000A193A">
            <w:pPr>
              <w:jc w:val="center"/>
              <w:rPr>
                <w:rFonts w:ascii="Times New Roman" w:eastAsia="Times New Roman" w:hAnsi="Times New Roman"/>
                <w:b/>
                <w:bCs/>
                <w:color w:val="333333"/>
                <w:lang w:bidi="ar-SA"/>
              </w:rPr>
            </w:pPr>
            <w:r>
              <w:rPr>
                <w:rFonts w:ascii="Times New Roman" w:eastAsia="Times New Roman" w:hAnsi="Times New Roman"/>
                <w:bCs/>
                <w:color w:val="333333"/>
                <w:lang w:bidi="ar-SA"/>
              </w:rPr>
              <w:t>to 11/30</w:t>
            </w:r>
            <w:r w:rsidR="000A193A" w:rsidRPr="000A193A">
              <w:rPr>
                <w:rFonts w:ascii="Times New Roman" w:eastAsia="Times New Roman" w:hAnsi="Times New Roman"/>
                <w:bCs/>
                <w:color w:val="333333"/>
                <w:lang w:bidi="ar-SA"/>
              </w:rPr>
              <w:t>/2012</w:t>
            </w:r>
          </w:p>
        </w:tc>
        <w:tc>
          <w:tcPr>
            <w:tcW w:w="1890" w:type="dxa"/>
          </w:tcPr>
          <w:p w:rsidR="0052401D" w:rsidRPr="0023189C" w:rsidRDefault="0052401D" w:rsidP="0052401D">
            <w:pPr>
              <w:rPr>
                <w:rFonts w:ascii="Times New Roman" w:eastAsia="Times New Roman" w:hAnsi="Times New Roman"/>
                <w:bCs/>
                <w:color w:val="333333"/>
                <w:lang w:bidi="ar-SA"/>
              </w:rPr>
            </w:pPr>
            <w:r w:rsidRPr="0023189C">
              <w:rPr>
                <w:rFonts w:ascii="Times New Roman" w:eastAsia="Times New Roman" w:hAnsi="Times New Roman"/>
                <w:bCs/>
                <w:color w:val="333333"/>
                <w:lang w:bidi="ar-SA"/>
              </w:rPr>
              <w:t xml:space="preserve">Audit timeliness of response to cases and </w:t>
            </w:r>
            <w:r>
              <w:rPr>
                <w:rFonts w:ascii="Times New Roman" w:eastAsia="Times New Roman" w:hAnsi="Times New Roman"/>
                <w:bCs/>
                <w:color w:val="333333"/>
                <w:lang w:bidi="ar-SA"/>
              </w:rPr>
              <w:t xml:space="preserve">changes in </w:t>
            </w:r>
            <w:r w:rsidRPr="0023189C">
              <w:rPr>
                <w:rFonts w:ascii="Times New Roman" w:eastAsia="Times New Roman" w:hAnsi="Times New Roman"/>
                <w:bCs/>
                <w:color w:val="333333"/>
                <w:lang w:bidi="ar-SA"/>
              </w:rPr>
              <w:t>detrimental health outcomes.</w:t>
            </w:r>
          </w:p>
          <w:p w:rsidR="006A3387" w:rsidRDefault="006A3387" w:rsidP="0052401D">
            <w:pPr>
              <w:rPr>
                <w:rFonts w:ascii="Times New Roman" w:eastAsia="Times New Roman" w:hAnsi="Times New Roman"/>
                <w:b/>
                <w:bCs/>
                <w:color w:val="333333"/>
                <w:lang w:bidi="ar-SA"/>
              </w:rPr>
            </w:pPr>
          </w:p>
        </w:tc>
        <w:tc>
          <w:tcPr>
            <w:tcW w:w="2340" w:type="dxa"/>
          </w:tcPr>
          <w:p w:rsidR="007F0E07" w:rsidRPr="00823584" w:rsidRDefault="00A0486B" w:rsidP="00823584">
            <w:pPr>
              <w:shd w:val="clear" w:color="auto" w:fill="FFFFFF"/>
              <w:outlineLvl w:val="5"/>
              <w:rPr>
                <w:rFonts w:ascii="Times New Roman" w:eastAsia="Times New Roman" w:hAnsi="Times New Roman"/>
                <w:bCs/>
                <w:color w:val="333333"/>
                <w:lang w:bidi="ar-SA"/>
              </w:rPr>
            </w:pPr>
            <w:r>
              <w:rPr>
                <w:rFonts w:ascii="Times New Roman" w:eastAsia="Times New Roman" w:hAnsi="Times New Roman"/>
                <w:bCs/>
                <w:color w:val="333333"/>
                <w:lang w:bidi="ar-SA"/>
              </w:rPr>
              <w:t xml:space="preserve">2.1.3A - </w:t>
            </w:r>
            <w:r w:rsidR="00B35153">
              <w:rPr>
                <w:rFonts w:ascii="Times New Roman" w:eastAsia="Times New Roman" w:hAnsi="Times New Roman"/>
                <w:bCs/>
                <w:color w:val="333333"/>
                <w:lang w:bidi="ar-SA"/>
              </w:rPr>
              <w:t>Demonstrate capacity to conduct investigations of non-infectious health problems, environmental, and/or occupational health problems.</w:t>
            </w:r>
          </w:p>
        </w:tc>
      </w:tr>
    </w:tbl>
    <w:p w:rsidR="00E23FDE" w:rsidRDefault="00E23FDE">
      <w:pPr>
        <w:rPr>
          <w:rFonts w:ascii="Arial" w:eastAsia="Times New Roman" w:hAnsi="Arial" w:cs="Arial"/>
          <w:b/>
          <w:bCs/>
          <w:color w:val="333333"/>
          <w:sz w:val="22"/>
          <w:szCs w:val="22"/>
          <w:lang w:bidi="ar-SA"/>
        </w:rPr>
      </w:pPr>
    </w:p>
    <w:p w:rsidR="000F6A62" w:rsidRDefault="000F6A62" w:rsidP="000F6A62">
      <w:pPr>
        <w:rPr>
          <w:rFonts w:ascii="Times New Roman" w:eastAsia="Times New Roman" w:hAnsi="Times New Roman"/>
          <w:b/>
          <w:bCs/>
          <w:color w:val="333333"/>
          <w:lang w:bidi="ar-SA"/>
        </w:rPr>
      </w:pPr>
      <w:r>
        <w:rPr>
          <w:rFonts w:ascii="Times New Roman" w:eastAsia="Times New Roman" w:hAnsi="Times New Roman"/>
          <w:b/>
          <w:bCs/>
          <w:color w:val="333333"/>
          <w:lang w:bidi="ar-SA"/>
        </w:rPr>
        <w:t>Budget Justification</w:t>
      </w:r>
    </w:p>
    <w:p w:rsidR="000F6A62" w:rsidRDefault="000F6A62" w:rsidP="000F6A62">
      <w:pPr>
        <w:rPr>
          <w:rFonts w:ascii="Times New Roman" w:eastAsia="Times New Roman" w:hAnsi="Times New Roman"/>
          <w:b/>
          <w:bCs/>
          <w:color w:val="333333"/>
          <w:lang w:bidi="ar-SA"/>
        </w:rPr>
      </w:pPr>
    </w:p>
    <w:tbl>
      <w:tblPr>
        <w:tblStyle w:val="TableGrid"/>
        <w:tblW w:w="9648" w:type="dxa"/>
        <w:tblLook w:val="04A0"/>
      </w:tblPr>
      <w:tblGrid>
        <w:gridCol w:w="7578"/>
        <w:gridCol w:w="2070"/>
      </w:tblGrid>
      <w:tr w:rsidR="000F6A62" w:rsidTr="000F6A62">
        <w:tc>
          <w:tcPr>
            <w:tcW w:w="7578" w:type="dxa"/>
          </w:tcPr>
          <w:p w:rsidR="000F6A62" w:rsidRPr="00E9732B" w:rsidRDefault="000F6A62" w:rsidP="000F6A62">
            <w:pPr>
              <w:rPr>
                <w:rFonts w:ascii="Times New Roman" w:eastAsia="Times New Roman" w:hAnsi="Times New Roman"/>
                <w:b/>
                <w:bCs/>
                <w:color w:val="333333"/>
                <w:lang w:bidi="ar-SA"/>
              </w:rPr>
            </w:pPr>
            <w:r w:rsidRPr="00E9732B">
              <w:rPr>
                <w:rFonts w:ascii="Times New Roman" w:eastAsia="Times New Roman" w:hAnsi="Times New Roman"/>
                <w:b/>
                <w:bCs/>
                <w:color w:val="333333"/>
                <w:lang w:bidi="ar-SA"/>
              </w:rPr>
              <w:t>Salaries and Fringe</w:t>
            </w:r>
          </w:p>
          <w:p w:rsidR="000F6A62" w:rsidRPr="00E9732B" w:rsidRDefault="000F6A62" w:rsidP="000F6A62">
            <w:pPr>
              <w:rPr>
                <w:rFonts w:ascii="Times New Roman" w:eastAsia="Times New Roman" w:hAnsi="Times New Roman"/>
                <w:bCs/>
                <w:color w:val="333333"/>
                <w:lang w:bidi="ar-SA"/>
              </w:rPr>
            </w:pPr>
            <w:r w:rsidRPr="00E9732B">
              <w:rPr>
                <w:rFonts w:ascii="Times New Roman" w:eastAsia="Times New Roman" w:hAnsi="Times New Roman"/>
                <w:bCs/>
                <w:color w:val="333333"/>
                <w:lang w:bidi="ar-SA"/>
              </w:rPr>
              <w:t>QI Project Coordinator</w:t>
            </w:r>
          </w:p>
          <w:p w:rsidR="000F6A62" w:rsidRPr="00E9732B" w:rsidRDefault="00E9732B" w:rsidP="000F6A62">
            <w:pPr>
              <w:rPr>
                <w:rFonts w:ascii="Times New Roman" w:eastAsia="Times New Roman" w:hAnsi="Times New Roman"/>
                <w:bCs/>
                <w:color w:val="333333"/>
                <w:lang w:bidi="ar-SA"/>
              </w:rPr>
            </w:pPr>
            <w:r w:rsidRPr="00E9732B">
              <w:rPr>
                <w:rFonts w:ascii="Times New Roman" w:eastAsia="Times New Roman" w:hAnsi="Times New Roman"/>
                <w:bCs/>
                <w:color w:val="333333"/>
                <w:lang w:bidi="ar-SA"/>
              </w:rPr>
              <w:t xml:space="preserve">110 </w:t>
            </w:r>
            <w:r w:rsidR="000F6A62" w:rsidRPr="00E9732B">
              <w:rPr>
                <w:rFonts w:ascii="Times New Roman" w:eastAsia="Times New Roman" w:hAnsi="Times New Roman"/>
                <w:bCs/>
                <w:color w:val="333333"/>
                <w:lang w:bidi="ar-SA"/>
              </w:rPr>
              <w:t xml:space="preserve">Hours X </w:t>
            </w:r>
            <w:r w:rsidR="00AA30A4" w:rsidRPr="00E9732B">
              <w:rPr>
                <w:rFonts w:ascii="Times New Roman" w:eastAsia="Times New Roman" w:hAnsi="Times New Roman"/>
                <w:bCs/>
                <w:color w:val="333333"/>
                <w:lang w:bidi="ar-SA"/>
              </w:rPr>
              <w:t>$</w:t>
            </w:r>
            <w:r w:rsidRPr="00E9732B">
              <w:rPr>
                <w:rFonts w:ascii="Times New Roman" w:eastAsia="Times New Roman" w:hAnsi="Times New Roman"/>
                <w:bCs/>
                <w:color w:val="333333"/>
                <w:lang w:bidi="ar-SA"/>
              </w:rPr>
              <w:t>42.09</w:t>
            </w:r>
            <w:r w:rsidR="000F6A62" w:rsidRPr="00E9732B">
              <w:rPr>
                <w:rFonts w:ascii="Times New Roman" w:eastAsia="Times New Roman" w:hAnsi="Times New Roman"/>
                <w:bCs/>
                <w:color w:val="333333"/>
                <w:lang w:bidi="ar-SA"/>
              </w:rPr>
              <w:t>/Hour = $</w:t>
            </w:r>
            <w:r w:rsidRPr="00E9732B">
              <w:rPr>
                <w:rFonts w:ascii="Times New Roman" w:eastAsia="Times New Roman" w:hAnsi="Times New Roman"/>
                <w:bCs/>
                <w:color w:val="333333"/>
                <w:lang w:bidi="ar-SA"/>
              </w:rPr>
              <w:t>4,629.90</w:t>
            </w:r>
          </w:p>
          <w:p w:rsidR="000F6A62" w:rsidRPr="00E9732B" w:rsidRDefault="000F6A62" w:rsidP="000F6A62">
            <w:pPr>
              <w:rPr>
                <w:rFonts w:ascii="Times New Roman" w:eastAsia="Times New Roman" w:hAnsi="Times New Roman"/>
                <w:b/>
                <w:bCs/>
                <w:color w:val="333333"/>
                <w:lang w:bidi="ar-SA"/>
              </w:rPr>
            </w:pPr>
          </w:p>
        </w:tc>
        <w:tc>
          <w:tcPr>
            <w:tcW w:w="2070" w:type="dxa"/>
          </w:tcPr>
          <w:p w:rsidR="000F6A62" w:rsidRPr="00E9732B" w:rsidRDefault="000F6A62" w:rsidP="000F6A62">
            <w:pPr>
              <w:jc w:val="right"/>
              <w:rPr>
                <w:rFonts w:ascii="Times New Roman" w:eastAsia="Times New Roman" w:hAnsi="Times New Roman"/>
                <w:bCs/>
                <w:color w:val="333333"/>
                <w:lang w:bidi="ar-SA"/>
              </w:rPr>
            </w:pPr>
            <w:r w:rsidRPr="00E9732B">
              <w:rPr>
                <w:rFonts w:ascii="Times New Roman" w:eastAsia="Times New Roman" w:hAnsi="Times New Roman"/>
                <w:bCs/>
                <w:color w:val="333333"/>
                <w:lang w:bidi="ar-SA"/>
              </w:rPr>
              <w:t>$</w:t>
            </w:r>
            <w:r w:rsidR="00E9732B" w:rsidRPr="00E9732B">
              <w:rPr>
                <w:rFonts w:ascii="Times New Roman" w:eastAsia="Times New Roman" w:hAnsi="Times New Roman"/>
                <w:bCs/>
                <w:color w:val="333333"/>
                <w:lang w:bidi="ar-SA"/>
              </w:rPr>
              <w:t>4,629.90</w:t>
            </w:r>
          </w:p>
        </w:tc>
      </w:tr>
      <w:tr w:rsidR="000F6A62" w:rsidTr="000F6A62">
        <w:tc>
          <w:tcPr>
            <w:tcW w:w="7578" w:type="dxa"/>
          </w:tcPr>
          <w:p w:rsidR="000F6A62" w:rsidRPr="00E9732B" w:rsidRDefault="000F6A62" w:rsidP="000F6A62">
            <w:pPr>
              <w:rPr>
                <w:rFonts w:ascii="Times New Roman" w:eastAsia="Times New Roman" w:hAnsi="Times New Roman"/>
                <w:b/>
                <w:bCs/>
                <w:color w:val="333333"/>
                <w:lang w:bidi="ar-SA"/>
              </w:rPr>
            </w:pPr>
            <w:r w:rsidRPr="00E9732B">
              <w:rPr>
                <w:rFonts w:ascii="Times New Roman" w:eastAsia="Times New Roman" w:hAnsi="Times New Roman"/>
                <w:b/>
                <w:bCs/>
                <w:color w:val="333333"/>
                <w:lang w:bidi="ar-SA"/>
              </w:rPr>
              <w:t>Travel</w:t>
            </w:r>
          </w:p>
          <w:p w:rsidR="000F6A62" w:rsidRPr="00E9732B" w:rsidRDefault="00E9732B" w:rsidP="000F6A62">
            <w:pPr>
              <w:rPr>
                <w:rFonts w:ascii="Times New Roman" w:eastAsia="Times New Roman" w:hAnsi="Times New Roman"/>
                <w:bCs/>
                <w:color w:val="333333"/>
                <w:lang w:bidi="ar-SA"/>
              </w:rPr>
            </w:pPr>
            <w:r w:rsidRPr="00E9732B">
              <w:rPr>
                <w:rFonts w:ascii="Times New Roman" w:eastAsia="Times New Roman" w:hAnsi="Times New Roman"/>
                <w:bCs/>
                <w:color w:val="333333"/>
                <w:lang w:bidi="ar-SA"/>
              </w:rPr>
              <w:t>150</w:t>
            </w:r>
            <w:r w:rsidR="000F6A62" w:rsidRPr="00E9732B">
              <w:rPr>
                <w:rFonts w:ascii="Times New Roman" w:eastAsia="Times New Roman" w:hAnsi="Times New Roman"/>
                <w:bCs/>
                <w:color w:val="333333"/>
                <w:lang w:bidi="ar-SA"/>
              </w:rPr>
              <w:t xml:space="preserve"> Miles X $0.555/Mile =</w:t>
            </w:r>
            <w:r w:rsidR="00BF6A32" w:rsidRPr="00E9732B">
              <w:rPr>
                <w:rFonts w:ascii="Times New Roman" w:eastAsia="Times New Roman" w:hAnsi="Times New Roman"/>
                <w:bCs/>
                <w:color w:val="333333"/>
                <w:lang w:bidi="ar-SA"/>
              </w:rPr>
              <w:t xml:space="preserve"> $</w:t>
            </w:r>
            <w:r w:rsidRPr="00E9732B">
              <w:rPr>
                <w:rFonts w:ascii="Times New Roman" w:eastAsia="Times New Roman" w:hAnsi="Times New Roman"/>
                <w:bCs/>
                <w:color w:val="333333"/>
                <w:lang w:bidi="ar-SA"/>
              </w:rPr>
              <w:t>83.25</w:t>
            </w:r>
          </w:p>
          <w:p w:rsidR="000F6A62" w:rsidRPr="00E9732B" w:rsidRDefault="000F6A62" w:rsidP="000F6A62">
            <w:pPr>
              <w:rPr>
                <w:rFonts w:ascii="Times New Roman" w:eastAsia="Times New Roman" w:hAnsi="Times New Roman"/>
                <w:b/>
                <w:bCs/>
                <w:color w:val="333333"/>
                <w:lang w:bidi="ar-SA"/>
              </w:rPr>
            </w:pPr>
          </w:p>
        </w:tc>
        <w:tc>
          <w:tcPr>
            <w:tcW w:w="2070" w:type="dxa"/>
          </w:tcPr>
          <w:p w:rsidR="000F6A62" w:rsidRPr="00E9732B" w:rsidRDefault="000F6A62" w:rsidP="000F6A62">
            <w:pPr>
              <w:jc w:val="right"/>
              <w:rPr>
                <w:rFonts w:ascii="Times New Roman" w:eastAsia="Times New Roman" w:hAnsi="Times New Roman"/>
                <w:bCs/>
                <w:color w:val="333333"/>
                <w:lang w:bidi="ar-SA"/>
              </w:rPr>
            </w:pPr>
            <w:r w:rsidRPr="00E9732B">
              <w:rPr>
                <w:rFonts w:ascii="Times New Roman" w:eastAsia="Times New Roman" w:hAnsi="Times New Roman"/>
                <w:bCs/>
                <w:color w:val="333333"/>
                <w:lang w:bidi="ar-SA"/>
              </w:rPr>
              <w:t>$</w:t>
            </w:r>
            <w:r w:rsidR="00E9732B" w:rsidRPr="00E9732B">
              <w:rPr>
                <w:rFonts w:ascii="Times New Roman" w:eastAsia="Times New Roman" w:hAnsi="Times New Roman"/>
                <w:bCs/>
                <w:color w:val="333333"/>
                <w:lang w:bidi="ar-SA"/>
              </w:rPr>
              <w:t>83.25</w:t>
            </w:r>
          </w:p>
        </w:tc>
      </w:tr>
      <w:tr w:rsidR="000F6A62" w:rsidTr="000F6A62">
        <w:tc>
          <w:tcPr>
            <w:tcW w:w="7578" w:type="dxa"/>
          </w:tcPr>
          <w:p w:rsidR="000F6A62" w:rsidRPr="00E9732B" w:rsidRDefault="000F6A62" w:rsidP="000F6A62">
            <w:pPr>
              <w:rPr>
                <w:rFonts w:ascii="Times New Roman" w:eastAsia="Times New Roman" w:hAnsi="Times New Roman"/>
                <w:b/>
                <w:bCs/>
                <w:color w:val="333333"/>
                <w:lang w:bidi="ar-SA"/>
              </w:rPr>
            </w:pPr>
            <w:r w:rsidRPr="00E9732B">
              <w:rPr>
                <w:rFonts w:ascii="Times New Roman" w:eastAsia="Times New Roman" w:hAnsi="Times New Roman"/>
                <w:b/>
                <w:bCs/>
                <w:color w:val="333333"/>
                <w:lang w:bidi="ar-SA"/>
              </w:rPr>
              <w:t>Supplies</w:t>
            </w:r>
          </w:p>
          <w:p w:rsidR="000F6A62" w:rsidRPr="00E9732B" w:rsidRDefault="00AA30A4" w:rsidP="000F6A62">
            <w:pPr>
              <w:rPr>
                <w:rFonts w:ascii="Times New Roman" w:eastAsia="Times New Roman" w:hAnsi="Times New Roman"/>
                <w:bCs/>
                <w:color w:val="333333"/>
                <w:lang w:bidi="ar-SA"/>
              </w:rPr>
            </w:pPr>
            <w:r w:rsidRPr="00E9732B">
              <w:rPr>
                <w:rFonts w:ascii="Times New Roman" w:eastAsia="Times New Roman" w:hAnsi="Times New Roman"/>
                <w:bCs/>
                <w:color w:val="333333"/>
                <w:lang w:bidi="ar-SA"/>
              </w:rPr>
              <w:t>Supplies for Partner Meetings = $</w:t>
            </w:r>
            <w:r w:rsidR="00E9732B" w:rsidRPr="00E9732B">
              <w:rPr>
                <w:rFonts w:ascii="Times New Roman" w:eastAsia="Times New Roman" w:hAnsi="Times New Roman"/>
                <w:bCs/>
                <w:color w:val="333333"/>
                <w:lang w:bidi="ar-SA"/>
              </w:rPr>
              <w:t>86.85</w:t>
            </w:r>
          </w:p>
          <w:p w:rsidR="000F6A62" w:rsidRPr="00E9732B" w:rsidRDefault="000F6A62" w:rsidP="000F6A62">
            <w:pPr>
              <w:rPr>
                <w:rFonts w:ascii="Times New Roman" w:eastAsia="Times New Roman" w:hAnsi="Times New Roman"/>
                <w:b/>
                <w:bCs/>
                <w:color w:val="333333"/>
                <w:lang w:bidi="ar-SA"/>
              </w:rPr>
            </w:pPr>
          </w:p>
        </w:tc>
        <w:tc>
          <w:tcPr>
            <w:tcW w:w="2070" w:type="dxa"/>
          </w:tcPr>
          <w:p w:rsidR="000F6A62" w:rsidRPr="00E9732B" w:rsidRDefault="000F6A62" w:rsidP="000F6A62">
            <w:pPr>
              <w:jc w:val="right"/>
              <w:rPr>
                <w:rFonts w:ascii="Times New Roman" w:eastAsia="Times New Roman" w:hAnsi="Times New Roman"/>
                <w:bCs/>
                <w:color w:val="333333"/>
                <w:lang w:bidi="ar-SA"/>
              </w:rPr>
            </w:pPr>
            <w:r w:rsidRPr="00E9732B">
              <w:rPr>
                <w:rFonts w:ascii="Times New Roman" w:eastAsia="Times New Roman" w:hAnsi="Times New Roman"/>
                <w:bCs/>
                <w:color w:val="333333"/>
                <w:lang w:bidi="ar-SA"/>
              </w:rPr>
              <w:t>$</w:t>
            </w:r>
            <w:r w:rsidR="00E9732B" w:rsidRPr="00E9732B">
              <w:rPr>
                <w:rFonts w:ascii="Times New Roman" w:eastAsia="Times New Roman" w:hAnsi="Times New Roman"/>
                <w:bCs/>
                <w:color w:val="333333"/>
                <w:lang w:bidi="ar-SA"/>
              </w:rPr>
              <w:t>86.85</w:t>
            </w:r>
          </w:p>
        </w:tc>
      </w:tr>
      <w:tr w:rsidR="000F6A62" w:rsidTr="000F6A62">
        <w:tc>
          <w:tcPr>
            <w:tcW w:w="7578" w:type="dxa"/>
          </w:tcPr>
          <w:p w:rsidR="000F6A62" w:rsidRPr="00E9732B" w:rsidRDefault="000F6A62" w:rsidP="000F6A62">
            <w:pPr>
              <w:rPr>
                <w:rFonts w:ascii="Times New Roman" w:eastAsia="Times New Roman" w:hAnsi="Times New Roman"/>
                <w:b/>
                <w:bCs/>
                <w:color w:val="333333"/>
                <w:lang w:bidi="ar-SA"/>
              </w:rPr>
            </w:pPr>
            <w:r w:rsidRPr="00E9732B">
              <w:rPr>
                <w:rFonts w:ascii="Times New Roman" w:eastAsia="Times New Roman" w:hAnsi="Times New Roman"/>
                <w:b/>
                <w:bCs/>
                <w:color w:val="333333"/>
                <w:lang w:bidi="ar-SA"/>
              </w:rPr>
              <w:t>Other</w:t>
            </w:r>
          </w:p>
          <w:p w:rsidR="000F6A62" w:rsidRPr="00E9732B" w:rsidRDefault="000F6A62" w:rsidP="000F6A62">
            <w:pPr>
              <w:rPr>
                <w:rFonts w:ascii="Times New Roman" w:eastAsia="Times New Roman" w:hAnsi="Times New Roman"/>
                <w:bCs/>
                <w:color w:val="333333"/>
                <w:lang w:bidi="ar-SA"/>
              </w:rPr>
            </w:pPr>
            <w:r w:rsidRPr="00E9732B">
              <w:rPr>
                <w:rFonts w:ascii="Times New Roman" w:eastAsia="Times New Roman" w:hAnsi="Times New Roman"/>
                <w:bCs/>
                <w:color w:val="333333"/>
                <w:lang w:bidi="ar-SA"/>
              </w:rPr>
              <w:t>Online Evaluation</w:t>
            </w:r>
            <w:r w:rsidR="00BF6A32" w:rsidRPr="00E9732B">
              <w:rPr>
                <w:rFonts w:ascii="Times New Roman" w:eastAsia="Times New Roman" w:hAnsi="Times New Roman"/>
                <w:bCs/>
                <w:color w:val="333333"/>
                <w:lang w:bidi="ar-SA"/>
              </w:rPr>
              <w:t xml:space="preserve"> and Tracking</w:t>
            </w:r>
            <w:r w:rsidRPr="00E9732B">
              <w:rPr>
                <w:rFonts w:ascii="Times New Roman" w:eastAsia="Times New Roman" w:hAnsi="Times New Roman"/>
                <w:bCs/>
                <w:color w:val="333333"/>
                <w:lang w:bidi="ar-SA"/>
              </w:rPr>
              <w:t xml:space="preserve"> Tool = $</w:t>
            </w:r>
            <w:r w:rsidR="00BF6A32" w:rsidRPr="00E9732B">
              <w:rPr>
                <w:rFonts w:ascii="Times New Roman" w:eastAsia="Times New Roman" w:hAnsi="Times New Roman"/>
                <w:bCs/>
                <w:color w:val="333333"/>
                <w:lang w:bidi="ar-SA"/>
              </w:rPr>
              <w:t>200.00</w:t>
            </w:r>
          </w:p>
          <w:p w:rsidR="000F6A62" w:rsidRPr="00E9732B" w:rsidRDefault="000F6A62" w:rsidP="000F6A62">
            <w:pPr>
              <w:rPr>
                <w:rFonts w:ascii="Times New Roman" w:eastAsia="Times New Roman" w:hAnsi="Times New Roman"/>
                <w:b/>
                <w:bCs/>
                <w:color w:val="333333"/>
                <w:lang w:bidi="ar-SA"/>
              </w:rPr>
            </w:pPr>
          </w:p>
        </w:tc>
        <w:tc>
          <w:tcPr>
            <w:tcW w:w="2070" w:type="dxa"/>
          </w:tcPr>
          <w:p w:rsidR="000F6A62" w:rsidRPr="00E9732B" w:rsidRDefault="000F6A62" w:rsidP="000F6A62">
            <w:pPr>
              <w:jc w:val="right"/>
              <w:rPr>
                <w:rFonts w:ascii="Times New Roman" w:eastAsia="Times New Roman" w:hAnsi="Times New Roman"/>
                <w:bCs/>
                <w:color w:val="333333"/>
                <w:lang w:bidi="ar-SA"/>
              </w:rPr>
            </w:pPr>
            <w:r w:rsidRPr="00E9732B">
              <w:rPr>
                <w:rFonts w:ascii="Times New Roman" w:eastAsia="Times New Roman" w:hAnsi="Times New Roman"/>
                <w:bCs/>
                <w:color w:val="333333"/>
                <w:lang w:bidi="ar-SA"/>
              </w:rPr>
              <w:t>$</w:t>
            </w:r>
            <w:r w:rsidR="00475EB2" w:rsidRPr="00E9732B">
              <w:rPr>
                <w:rFonts w:ascii="Times New Roman" w:eastAsia="Times New Roman" w:hAnsi="Times New Roman"/>
                <w:bCs/>
                <w:color w:val="333333"/>
                <w:lang w:bidi="ar-SA"/>
              </w:rPr>
              <w:t>200.00</w:t>
            </w:r>
          </w:p>
        </w:tc>
      </w:tr>
      <w:tr w:rsidR="000F6A62" w:rsidTr="000F6A62">
        <w:tc>
          <w:tcPr>
            <w:tcW w:w="7578" w:type="dxa"/>
          </w:tcPr>
          <w:p w:rsidR="000F6A62" w:rsidRPr="00AA30A4" w:rsidRDefault="000F6A62" w:rsidP="00AA30A4">
            <w:pPr>
              <w:jc w:val="right"/>
              <w:rPr>
                <w:rFonts w:ascii="Times New Roman" w:eastAsia="Times New Roman" w:hAnsi="Times New Roman"/>
                <w:b/>
                <w:bCs/>
                <w:color w:val="333333"/>
                <w:lang w:bidi="ar-SA"/>
              </w:rPr>
            </w:pPr>
            <w:r>
              <w:rPr>
                <w:rFonts w:ascii="Times New Roman" w:eastAsia="Times New Roman" w:hAnsi="Times New Roman"/>
                <w:b/>
                <w:bCs/>
                <w:color w:val="333333"/>
                <w:lang w:bidi="ar-SA"/>
              </w:rPr>
              <w:t>TOTAL</w:t>
            </w:r>
          </w:p>
        </w:tc>
        <w:tc>
          <w:tcPr>
            <w:tcW w:w="2070" w:type="dxa"/>
          </w:tcPr>
          <w:p w:rsidR="000F6A62" w:rsidRDefault="000F6A62" w:rsidP="000F6A62">
            <w:pPr>
              <w:jc w:val="right"/>
              <w:rPr>
                <w:rFonts w:ascii="Times New Roman" w:eastAsia="Times New Roman" w:hAnsi="Times New Roman"/>
                <w:b/>
                <w:bCs/>
                <w:color w:val="333333"/>
                <w:lang w:bidi="ar-SA"/>
              </w:rPr>
            </w:pPr>
            <w:r>
              <w:rPr>
                <w:rFonts w:ascii="Times New Roman" w:eastAsia="Times New Roman" w:hAnsi="Times New Roman"/>
                <w:b/>
                <w:bCs/>
                <w:color w:val="333333"/>
                <w:lang w:bidi="ar-SA"/>
              </w:rPr>
              <w:t>$5,000.00</w:t>
            </w:r>
          </w:p>
        </w:tc>
      </w:tr>
    </w:tbl>
    <w:p w:rsidR="000F6A62" w:rsidRDefault="000F6A62" w:rsidP="000F6A62">
      <w:pPr>
        <w:rPr>
          <w:rFonts w:ascii="Times New Roman" w:eastAsia="Times New Roman" w:hAnsi="Times New Roman"/>
          <w:b/>
          <w:bCs/>
          <w:color w:val="333333"/>
          <w:lang w:bidi="ar-SA"/>
        </w:rPr>
      </w:pPr>
    </w:p>
    <w:p w:rsidR="000F6A62" w:rsidRDefault="000F6A62" w:rsidP="000F6A62">
      <w:pPr>
        <w:rPr>
          <w:rFonts w:ascii="Times New Roman" w:eastAsia="Times New Roman" w:hAnsi="Times New Roman"/>
          <w:bCs/>
          <w:color w:val="333333"/>
          <w:lang w:bidi="ar-SA"/>
        </w:rPr>
      </w:pPr>
    </w:p>
    <w:p w:rsidR="000F6A62" w:rsidRDefault="000F6A62" w:rsidP="000F6A62">
      <w:pPr>
        <w:rPr>
          <w:rFonts w:ascii="Times New Roman" w:eastAsia="Times New Roman" w:hAnsi="Times New Roman"/>
          <w:bCs/>
          <w:color w:val="333333"/>
          <w:lang w:bidi="ar-SA"/>
        </w:rPr>
      </w:pPr>
    </w:p>
    <w:p w:rsidR="000F6A62" w:rsidRDefault="000F6A62" w:rsidP="000F6A62">
      <w:pPr>
        <w:rPr>
          <w:rFonts w:ascii="Times New Roman" w:eastAsia="Times New Roman" w:hAnsi="Times New Roman"/>
          <w:bCs/>
          <w:color w:val="333333"/>
          <w:lang w:bidi="ar-SA"/>
        </w:rPr>
      </w:pPr>
    </w:p>
    <w:p w:rsidR="000F6A62" w:rsidRPr="000F6A62" w:rsidRDefault="000F6A62" w:rsidP="000F6A62">
      <w:pPr>
        <w:rPr>
          <w:rFonts w:ascii="Times New Roman" w:eastAsia="Times New Roman" w:hAnsi="Times New Roman"/>
          <w:bCs/>
          <w:color w:val="333333"/>
          <w:lang w:bidi="ar-SA"/>
        </w:rPr>
      </w:pPr>
    </w:p>
    <w:p w:rsidR="00E23FDE" w:rsidRDefault="00E23FDE"/>
    <w:p w:rsidR="00E23FDE" w:rsidRDefault="00E23FDE"/>
    <w:sectPr w:rsidR="00E23FDE" w:rsidSect="00430E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54F0D"/>
    <w:multiLevelType w:val="hybridMultilevel"/>
    <w:tmpl w:val="D18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0306F"/>
    <w:rsid w:val="0003250A"/>
    <w:rsid w:val="00037495"/>
    <w:rsid w:val="00042BAD"/>
    <w:rsid w:val="00073F24"/>
    <w:rsid w:val="000A193A"/>
    <w:rsid w:val="000C28E2"/>
    <w:rsid w:val="000E5483"/>
    <w:rsid w:val="000F6A62"/>
    <w:rsid w:val="0011063D"/>
    <w:rsid w:val="00170398"/>
    <w:rsid w:val="00171BBD"/>
    <w:rsid w:val="00172980"/>
    <w:rsid w:val="0017648D"/>
    <w:rsid w:val="001D4E21"/>
    <w:rsid w:val="001F0808"/>
    <w:rsid w:val="00202A08"/>
    <w:rsid w:val="0023189C"/>
    <w:rsid w:val="00236719"/>
    <w:rsid w:val="00250FB3"/>
    <w:rsid w:val="00276E99"/>
    <w:rsid w:val="00286D7A"/>
    <w:rsid w:val="002C4E29"/>
    <w:rsid w:val="00312ED3"/>
    <w:rsid w:val="003307EC"/>
    <w:rsid w:val="003B26CC"/>
    <w:rsid w:val="003B7D0E"/>
    <w:rsid w:val="003F73B2"/>
    <w:rsid w:val="00430E84"/>
    <w:rsid w:val="004341D2"/>
    <w:rsid w:val="0046084C"/>
    <w:rsid w:val="00475EB2"/>
    <w:rsid w:val="004B3CB7"/>
    <w:rsid w:val="004D1911"/>
    <w:rsid w:val="004E60F9"/>
    <w:rsid w:val="0052401D"/>
    <w:rsid w:val="0057011F"/>
    <w:rsid w:val="00581E8A"/>
    <w:rsid w:val="00585E8B"/>
    <w:rsid w:val="005917C2"/>
    <w:rsid w:val="005A2B82"/>
    <w:rsid w:val="005B2191"/>
    <w:rsid w:val="005F290D"/>
    <w:rsid w:val="006020BC"/>
    <w:rsid w:val="00604D04"/>
    <w:rsid w:val="006A3387"/>
    <w:rsid w:val="006A75AC"/>
    <w:rsid w:val="006B28A5"/>
    <w:rsid w:val="006B6DA6"/>
    <w:rsid w:val="006D2458"/>
    <w:rsid w:val="0070306F"/>
    <w:rsid w:val="00730036"/>
    <w:rsid w:val="0076674A"/>
    <w:rsid w:val="00797025"/>
    <w:rsid w:val="007D4820"/>
    <w:rsid w:val="007F0E07"/>
    <w:rsid w:val="00820E83"/>
    <w:rsid w:val="00823584"/>
    <w:rsid w:val="008B5B69"/>
    <w:rsid w:val="008B788D"/>
    <w:rsid w:val="008C4D4A"/>
    <w:rsid w:val="008E29D2"/>
    <w:rsid w:val="008F1017"/>
    <w:rsid w:val="008F3480"/>
    <w:rsid w:val="00915A88"/>
    <w:rsid w:val="00935ED2"/>
    <w:rsid w:val="00940C89"/>
    <w:rsid w:val="009632BB"/>
    <w:rsid w:val="00973F00"/>
    <w:rsid w:val="00974B90"/>
    <w:rsid w:val="009A73CF"/>
    <w:rsid w:val="009B13F4"/>
    <w:rsid w:val="00A0486B"/>
    <w:rsid w:val="00A13A96"/>
    <w:rsid w:val="00A20BFA"/>
    <w:rsid w:val="00A27AB5"/>
    <w:rsid w:val="00A410B8"/>
    <w:rsid w:val="00A64333"/>
    <w:rsid w:val="00AA30A4"/>
    <w:rsid w:val="00AE2F33"/>
    <w:rsid w:val="00AF738F"/>
    <w:rsid w:val="00B35153"/>
    <w:rsid w:val="00B4499B"/>
    <w:rsid w:val="00B47DCC"/>
    <w:rsid w:val="00B532E4"/>
    <w:rsid w:val="00B56CED"/>
    <w:rsid w:val="00BA4B7B"/>
    <w:rsid w:val="00BD795F"/>
    <w:rsid w:val="00BF6A32"/>
    <w:rsid w:val="00C3556B"/>
    <w:rsid w:val="00C636E5"/>
    <w:rsid w:val="00C66C5E"/>
    <w:rsid w:val="00C8077E"/>
    <w:rsid w:val="00CD75EE"/>
    <w:rsid w:val="00CF56FF"/>
    <w:rsid w:val="00D33F59"/>
    <w:rsid w:val="00D835D7"/>
    <w:rsid w:val="00D94542"/>
    <w:rsid w:val="00DA72A9"/>
    <w:rsid w:val="00DF088E"/>
    <w:rsid w:val="00E23FDE"/>
    <w:rsid w:val="00E9732B"/>
    <w:rsid w:val="00EB4150"/>
    <w:rsid w:val="00EF7473"/>
    <w:rsid w:val="00F0268A"/>
    <w:rsid w:val="00F20122"/>
    <w:rsid w:val="00F4630B"/>
    <w:rsid w:val="00F5113B"/>
    <w:rsid w:val="00F55CA5"/>
    <w:rsid w:val="00F9477C"/>
    <w:rsid w:val="00FB4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D4B"/>
    <w:pPr>
      <w:spacing w:after="0" w:line="240" w:lineRule="auto"/>
    </w:pPr>
    <w:rPr>
      <w:sz w:val="24"/>
      <w:szCs w:val="24"/>
    </w:rPr>
  </w:style>
  <w:style w:type="paragraph" w:styleId="Heading1">
    <w:name w:val="heading 1"/>
    <w:basedOn w:val="Normal"/>
    <w:next w:val="Normal"/>
    <w:link w:val="Heading1Char"/>
    <w:uiPriority w:val="9"/>
    <w:qFormat/>
    <w:rsid w:val="00FB4D4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4D4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4D4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4D4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4D4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4D4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4D4B"/>
    <w:pPr>
      <w:spacing w:before="240" w:after="60"/>
      <w:outlineLvl w:val="6"/>
    </w:pPr>
  </w:style>
  <w:style w:type="paragraph" w:styleId="Heading8">
    <w:name w:val="heading 8"/>
    <w:basedOn w:val="Normal"/>
    <w:next w:val="Normal"/>
    <w:link w:val="Heading8Char"/>
    <w:uiPriority w:val="9"/>
    <w:semiHidden/>
    <w:unhideWhenUsed/>
    <w:qFormat/>
    <w:rsid w:val="00FB4D4B"/>
    <w:pPr>
      <w:spacing w:before="240" w:after="60"/>
      <w:outlineLvl w:val="7"/>
    </w:pPr>
    <w:rPr>
      <w:i/>
      <w:iCs/>
    </w:rPr>
  </w:style>
  <w:style w:type="paragraph" w:styleId="Heading9">
    <w:name w:val="heading 9"/>
    <w:basedOn w:val="Normal"/>
    <w:next w:val="Normal"/>
    <w:link w:val="Heading9Char"/>
    <w:uiPriority w:val="9"/>
    <w:semiHidden/>
    <w:unhideWhenUsed/>
    <w:qFormat/>
    <w:rsid w:val="00FB4D4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D4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4D4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4D4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B4D4B"/>
    <w:rPr>
      <w:b/>
      <w:bCs/>
      <w:sz w:val="28"/>
      <w:szCs w:val="28"/>
    </w:rPr>
  </w:style>
  <w:style w:type="character" w:customStyle="1" w:styleId="Heading5Char">
    <w:name w:val="Heading 5 Char"/>
    <w:basedOn w:val="DefaultParagraphFont"/>
    <w:link w:val="Heading5"/>
    <w:uiPriority w:val="9"/>
    <w:semiHidden/>
    <w:rsid w:val="00FB4D4B"/>
    <w:rPr>
      <w:b/>
      <w:bCs/>
      <w:i/>
      <w:iCs/>
      <w:sz w:val="26"/>
      <w:szCs w:val="26"/>
    </w:rPr>
  </w:style>
  <w:style w:type="character" w:customStyle="1" w:styleId="Heading6Char">
    <w:name w:val="Heading 6 Char"/>
    <w:basedOn w:val="DefaultParagraphFont"/>
    <w:link w:val="Heading6"/>
    <w:uiPriority w:val="9"/>
    <w:semiHidden/>
    <w:rsid w:val="00FB4D4B"/>
    <w:rPr>
      <w:b/>
      <w:bCs/>
    </w:rPr>
  </w:style>
  <w:style w:type="character" w:customStyle="1" w:styleId="Heading7Char">
    <w:name w:val="Heading 7 Char"/>
    <w:basedOn w:val="DefaultParagraphFont"/>
    <w:link w:val="Heading7"/>
    <w:uiPriority w:val="9"/>
    <w:semiHidden/>
    <w:rsid w:val="00FB4D4B"/>
    <w:rPr>
      <w:sz w:val="24"/>
      <w:szCs w:val="24"/>
    </w:rPr>
  </w:style>
  <w:style w:type="character" w:customStyle="1" w:styleId="Heading8Char">
    <w:name w:val="Heading 8 Char"/>
    <w:basedOn w:val="DefaultParagraphFont"/>
    <w:link w:val="Heading8"/>
    <w:uiPriority w:val="9"/>
    <w:semiHidden/>
    <w:rsid w:val="00FB4D4B"/>
    <w:rPr>
      <w:i/>
      <w:iCs/>
      <w:sz w:val="24"/>
      <w:szCs w:val="24"/>
    </w:rPr>
  </w:style>
  <w:style w:type="character" w:customStyle="1" w:styleId="Heading9Char">
    <w:name w:val="Heading 9 Char"/>
    <w:basedOn w:val="DefaultParagraphFont"/>
    <w:link w:val="Heading9"/>
    <w:uiPriority w:val="9"/>
    <w:semiHidden/>
    <w:rsid w:val="00FB4D4B"/>
    <w:rPr>
      <w:rFonts w:asciiTheme="majorHAnsi" w:eastAsiaTheme="majorEastAsia" w:hAnsiTheme="majorHAnsi"/>
    </w:rPr>
  </w:style>
  <w:style w:type="paragraph" w:styleId="Title">
    <w:name w:val="Title"/>
    <w:basedOn w:val="Normal"/>
    <w:next w:val="Normal"/>
    <w:link w:val="TitleChar"/>
    <w:uiPriority w:val="10"/>
    <w:qFormat/>
    <w:rsid w:val="00FB4D4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4D4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4D4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4D4B"/>
    <w:rPr>
      <w:rFonts w:asciiTheme="majorHAnsi" w:eastAsiaTheme="majorEastAsia" w:hAnsiTheme="majorHAnsi"/>
      <w:sz w:val="24"/>
      <w:szCs w:val="24"/>
    </w:rPr>
  </w:style>
  <w:style w:type="character" w:styleId="Strong">
    <w:name w:val="Strong"/>
    <w:basedOn w:val="DefaultParagraphFont"/>
    <w:uiPriority w:val="22"/>
    <w:qFormat/>
    <w:rsid w:val="00FB4D4B"/>
    <w:rPr>
      <w:b/>
      <w:bCs/>
    </w:rPr>
  </w:style>
  <w:style w:type="character" w:styleId="Emphasis">
    <w:name w:val="Emphasis"/>
    <w:basedOn w:val="DefaultParagraphFont"/>
    <w:uiPriority w:val="20"/>
    <w:qFormat/>
    <w:rsid w:val="00FB4D4B"/>
    <w:rPr>
      <w:rFonts w:asciiTheme="minorHAnsi" w:hAnsiTheme="minorHAnsi"/>
      <w:b/>
      <w:i/>
      <w:iCs/>
    </w:rPr>
  </w:style>
  <w:style w:type="paragraph" w:styleId="NoSpacing">
    <w:name w:val="No Spacing"/>
    <w:basedOn w:val="Normal"/>
    <w:uiPriority w:val="1"/>
    <w:qFormat/>
    <w:rsid w:val="00FB4D4B"/>
    <w:rPr>
      <w:szCs w:val="32"/>
    </w:rPr>
  </w:style>
  <w:style w:type="paragraph" w:styleId="ListParagraph">
    <w:name w:val="List Paragraph"/>
    <w:basedOn w:val="Normal"/>
    <w:uiPriority w:val="34"/>
    <w:qFormat/>
    <w:rsid w:val="00FB4D4B"/>
    <w:pPr>
      <w:ind w:left="720"/>
      <w:contextualSpacing/>
    </w:pPr>
  </w:style>
  <w:style w:type="paragraph" w:styleId="Quote">
    <w:name w:val="Quote"/>
    <w:basedOn w:val="Normal"/>
    <w:next w:val="Normal"/>
    <w:link w:val="QuoteChar"/>
    <w:uiPriority w:val="29"/>
    <w:qFormat/>
    <w:rsid w:val="00FB4D4B"/>
    <w:rPr>
      <w:i/>
    </w:rPr>
  </w:style>
  <w:style w:type="character" w:customStyle="1" w:styleId="QuoteChar">
    <w:name w:val="Quote Char"/>
    <w:basedOn w:val="DefaultParagraphFont"/>
    <w:link w:val="Quote"/>
    <w:uiPriority w:val="29"/>
    <w:rsid w:val="00FB4D4B"/>
    <w:rPr>
      <w:i/>
      <w:sz w:val="24"/>
      <w:szCs w:val="24"/>
    </w:rPr>
  </w:style>
  <w:style w:type="paragraph" w:styleId="IntenseQuote">
    <w:name w:val="Intense Quote"/>
    <w:basedOn w:val="Normal"/>
    <w:next w:val="Normal"/>
    <w:link w:val="IntenseQuoteChar"/>
    <w:uiPriority w:val="30"/>
    <w:qFormat/>
    <w:rsid w:val="00FB4D4B"/>
    <w:pPr>
      <w:ind w:left="720" w:right="720"/>
    </w:pPr>
    <w:rPr>
      <w:b/>
      <w:i/>
      <w:szCs w:val="22"/>
    </w:rPr>
  </w:style>
  <w:style w:type="character" w:customStyle="1" w:styleId="IntenseQuoteChar">
    <w:name w:val="Intense Quote Char"/>
    <w:basedOn w:val="DefaultParagraphFont"/>
    <w:link w:val="IntenseQuote"/>
    <w:uiPriority w:val="30"/>
    <w:rsid w:val="00FB4D4B"/>
    <w:rPr>
      <w:b/>
      <w:i/>
      <w:sz w:val="24"/>
    </w:rPr>
  </w:style>
  <w:style w:type="character" w:styleId="SubtleEmphasis">
    <w:name w:val="Subtle Emphasis"/>
    <w:uiPriority w:val="19"/>
    <w:qFormat/>
    <w:rsid w:val="00FB4D4B"/>
    <w:rPr>
      <w:i/>
      <w:color w:val="5A5A5A" w:themeColor="text1" w:themeTint="A5"/>
    </w:rPr>
  </w:style>
  <w:style w:type="character" w:styleId="IntenseEmphasis">
    <w:name w:val="Intense Emphasis"/>
    <w:basedOn w:val="DefaultParagraphFont"/>
    <w:uiPriority w:val="21"/>
    <w:qFormat/>
    <w:rsid w:val="00FB4D4B"/>
    <w:rPr>
      <w:b/>
      <w:i/>
      <w:sz w:val="24"/>
      <w:szCs w:val="24"/>
      <w:u w:val="single"/>
    </w:rPr>
  </w:style>
  <w:style w:type="character" w:styleId="SubtleReference">
    <w:name w:val="Subtle Reference"/>
    <w:basedOn w:val="DefaultParagraphFont"/>
    <w:uiPriority w:val="31"/>
    <w:qFormat/>
    <w:rsid w:val="00FB4D4B"/>
    <w:rPr>
      <w:sz w:val="24"/>
      <w:szCs w:val="24"/>
      <w:u w:val="single"/>
    </w:rPr>
  </w:style>
  <w:style w:type="character" w:styleId="IntenseReference">
    <w:name w:val="Intense Reference"/>
    <w:basedOn w:val="DefaultParagraphFont"/>
    <w:uiPriority w:val="32"/>
    <w:qFormat/>
    <w:rsid w:val="00FB4D4B"/>
    <w:rPr>
      <w:b/>
      <w:sz w:val="24"/>
      <w:u w:val="single"/>
    </w:rPr>
  </w:style>
  <w:style w:type="character" w:styleId="BookTitle">
    <w:name w:val="Book Title"/>
    <w:basedOn w:val="DefaultParagraphFont"/>
    <w:uiPriority w:val="33"/>
    <w:qFormat/>
    <w:rsid w:val="00FB4D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4D4B"/>
    <w:pPr>
      <w:outlineLvl w:val="9"/>
    </w:pPr>
  </w:style>
  <w:style w:type="paragraph" w:styleId="NormalWeb">
    <w:name w:val="Normal (Web)"/>
    <w:basedOn w:val="Normal"/>
    <w:uiPriority w:val="99"/>
    <w:semiHidden/>
    <w:unhideWhenUsed/>
    <w:rsid w:val="0070306F"/>
    <w:rPr>
      <w:rFonts w:ascii="Times New Roman" w:eastAsia="Times New Roman" w:hAnsi="Times New Roman"/>
      <w:lang w:bidi="ar-SA"/>
    </w:rPr>
  </w:style>
  <w:style w:type="table" w:styleId="TableGrid">
    <w:name w:val="Table Grid"/>
    <w:basedOn w:val="TableNormal"/>
    <w:uiPriority w:val="59"/>
    <w:rsid w:val="007F0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6017760">
      <w:bodyDiv w:val="1"/>
      <w:marLeft w:val="0"/>
      <w:marRight w:val="0"/>
      <w:marTop w:val="0"/>
      <w:marBottom w:val="0"/>
      <w:divBdr>
        <w:top w:val="none" w:sz="0" w:space="0" w:color="auto"/>
        <w:left w:val="none" w:sz="0" w:space="0" w:color="auto"/>
        <w:bottom w:val="none" w:sz="0" w:space="0" w:color="auto"/>
        <w:right w:val="none" w:sz="0" w:space="0" w:color="auto"/>
      </w:divBdr>
      <w:divsChild>
        <w:div w:id="2099061840">
          <w:marLeft w:val="0"/>
          <w:marRight w:val="0"/>
          <w:marTop w:val="0"/>
          <w:marBottom w:val="0"/>
          <w:divBdr>
            <w:top w:val="none" w:sz="0" w:space="0" w:color="auto"/>
            <w:left w:val="none" w:sz="0" w:space="0" w:color="auto"/>
            <w:bottom w:val="none" w:sz="0" w:space="0" w:color="auto"/>
            <w:right w:val="none" w:sz="0" w:space="0" w:color="auto"/>
          </w:divBdr>
          <w:divsChild>
            <w:div w:id="955529637">
              <w:marLeft w:val="115"/>
              <w:marRight w:val="0"/>
              <w:marTop w:val="0"/>
              <w:marBottom w:val="0"/>
              <w:divBdr>
                <w:top w:val="none" w:sz="0" w:space="0" w:color="auto"/>
                <w:left w:val="none" w:sz="0" w:space="0" w:color="auto"/>
                <w:bottom w:val="none" w:sz="0" w:space="0" w:color="auto"/>
                <w:right w:val="none" w:sz="0" w:space="0" w:color="auto"/>
              </w:divBdr>
              <w:divsChild>
                <w:div w:id="228658949">
                  <w:marLeft w:val="0"/>
                  <w:marRight w:val="0"/>
                  <w:marTop w:val="0"/>
                  <w:marBottom w:val="0"/>
                  <w:divBdr>
                    <w:top w:val="single" w:sz="4" w:space="0" w:color="AFAFAF"/>
                    <w:left w:val="single" w:sz="4" w:space="0" w:color="AFAFAF"/>
                    <w:bottom w:val="single" w:sz="4" w:space="0" w:color="AFAFAF"/>
                    <w:right w:val="single" w:sz="4" w:space="0" w:color="AFAFAF"/>
                  </w:divBdr>
                  <w:divsChild>
                    <w:div w:id="1827356887">
                      <w:marLeft w:val="461"/>
                      <w:marRight w:val="230"/>
                      <w:marTop w:val="0"/>
                      <w:marBottom w:val="0"/>
                      <w:divBdr>
                        <w:top w:val="none" w:sz="0" w:space="0" w:color="auto"/>
                        <w:left w:val="none" w:sz="0" w:space="0" w:color="auto"/>
                        <w:bottom w:val="none" w:sz="0" w:space="0" w:color="auto"/>
                        <w:right w:val="none" w:sz="0" w:space="0" w:color="auto"/>
                      </w:divBdr>
                      <w:divsChild>
                        <w:div w:id="103810912">
                          <w:marLeft w:val="0"/>
                          <w:marRight w:val="0"/>
                          <w:marTop w:val="0"/>
                          <w:marBottom w:val="69"/>
                          <w:divBdr>
                            <w:top w:val="none" w:sz="0" w:space="0" w:color="auto"/>
                            <w:left w:val="none" w:sz="0" w:space="0" w:color="auto"/>
                            <w:bottom w:val="none" w:sz="0" w:space="0" w:color="auto"/>
                            <w:right w:val="none" w:sz="0" w:space="0" w:color="auto"/>
                          </w:divBdr>
                          <w:divsChild>
                            <w:div w:id="617369175">
                              <w:marLeft w:val="115"/>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Fillmore County</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bpohlman</dc:creator>
  <cp:lastModifiedBy>bpohlman</cp:lastModifiedBy>
  <cp:revision>97</cp:revision>
  <dcterms:created xsi:type="dcterms:W3CDTF">2012-01-19T22:39:00Z</dcterms:created>
  <dcterms:modified xsi:type="dcterms:W3CDTF">2012-01-25T17:23:00Z</dcterms:modified>
</cp:coreProperties>
</file>