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8" w:rsidRDefault="0060761A" w:rsidP="00162724">
      <w:pPr>
        <w:widowControl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77176BB4" wp14:editId="588BC32A">
            <wp:simplePos x="0" y="0"/>
            <wp:positionH relativeFrom="column">
              <wp:posOffset>-228599</wp:posOffset>
            </wp:positionH>
            <wp:positionV relativeFrom="paragraph">
              <wp:posOffset>136525</wp:posOffset>
            </wp:positionV>
            <wp:extent cx="1371600" cy="1171575"/>
            <wp:effectExtent l="0" t="0" r="0" b="0"/>
            <wp:wrapNone/>
            <wp:docPr id="1" name="Picture 0" descr="NewLogo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DRAF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5B8">
        <w:rPr>
          <w:rFonts w:ascii="Tahoma" w:hAnsi="Tahoma" w:cs="Tahoma"/>
          <w:sz w:val="24"/>
          <w:szCs w:val="24"/>
        </w:rPr>
        <w:t>W</w:t>
      </w:r>
      <w:r w:rsidR="005C11C4">
        <w:rPr>
          <w:rFonts w:ascii="Tahoma" w:hAnsi="Tahoma" w:cs="Tahoma"/>
          <w:sz w:val="24"/>
          <w:szCs w:val="24"/>
        </w:rPr>
        <w:t xml:space="preserve">IC </w:t>
      </w:r>
      <w:r w:rsidR="00162724">
        <w:rPr>
          <w:rFonts w:ascii="Tahoma" w:hAnsi="Tahoma" w:cs="Tahoma"/>
          <w:sz w:val="24"/>
          <w:szCs w:val="24"/>
        </w:rPr>
        <w:t>QUALITY IMPROVEMENT STORY BOARD</w:t>
      </w:r>
      <w:r w:rsidR="00621F26">
        <w:rPr>
          <w:rFonts w:ascii="Tahoma" w:hAnsi="Tahoma" w:cs="Tahoma"/>
          <w:sz w:val="24"/>
          <w:szCs w:val="24"/>
        </w:rPr>
        <w:t xml:space="preserve"> </w:t>
      </w:r>
      <w:r w:rsidR="006D15B8">
        <w:rPr>
          <w:rFonts w:ascii="Tahoma" w:hAnsi="Tahoma" w:cs="Tahoma"/>
          <w:sz w:val="18"/>
          <w:szCs w:val="18"/>
        </w:rPr>
        <w:t>8/15/13</w:t>
      </w:r>
    </w:p>
    <w:p w:rsidR="00162724" w:rsidRDefault="00162724" w:rsidP="00162724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tbl>
      <w:tblPr>
        <w:tblW w:w="11340" w:type="dxa"/>
        <w:tblInd w:w="-342" w:type="dxa"/>
        <w:tblLook w:val="01E0" w:firstRow="1" w:lastRow="1" w:firstColumn="1" w:lastColumn="1" w:noHBand="0" w:noVBand="0"/>
      </w:tblPr>
      <w:tblGrid>
        <w:gridCol w:w="1530"/>
        <w:gridCol w:w="5670"/>
        <w:gridCol w:w="4140"/>
      </w:tblGrid>
      <w:tr w:rsidR="00162724" w:rsidRPr="00AE546B" w:rsidTr="00BE55A5">
        <w:trPr>
          <w:trHeight w:val="288"/>
        </w:trPr>
        <w:tc>
          <w:tcPr>
            <w:tcW w:w="1530" w:type="dxa"/>
          </w:tcPr>
          <w:p w:rsidR="00162724" w:rsidRPr="002D47FA" w:rsidRDefault="00162724" w:rsidP="002D47FA">
            <w:pPr>
              <w:widowControl w:val="0"/>
              <w:rPr>
                <w:rFonts w:ascii="Corbel" w:hAnsi="Corbel" w:cs="Tahoma"/>
                <w:b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724" w:rsidRPr="005C11C4" w:rsidRDefault="00162724" w:rsidP="005C11C4">
            <w:pPr>
              <w:widowControl w:val="0"/>
              <w:ind w:left="432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 w:rsidRPr="005C11C4">
              <w:rPr>
                <w:rFonts w:ascii="Corbel" w:hAnsi="Corbel" w:cs="Tahoma"/>
                <w:b/>
                <w:smallCaps/>
                <w:sz w:val="24"/>
                <w:szCs w:val="24"/>
              </w:rPr>
              <w:t>WHATCOM COUNTY HEALTH DEPARTMENT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724" w:rsidRPr="0097315D" w:rsidRDefault="00162724" w:rsidP="00BE55A5">
            <w:pPr>
              <w:widowControl w:val="0"/>
              <w:rPr>
                <w:rFonts w:ascii="Corbel" w:hAnsi="Corbel" w:cs="Tahoma"/>
                <w:b/>
                <w:color w:val="215868" w:themeColor="accent5" w:themeShade="80"/>
                <w:sz w:val="24"/>
                <w:szCs w:val="24"/>
              </w:rPr>
            </w:pPr>
            <w:r w:rsidRPr="0097315D">
              <w:rPr>
                <w:rFonts w:ascii="Corbel" w:hAnsi="Corbel" w:cs="Tahoma"/>
                <w:b/>
                <w:color w:val="215868" w:themeColor="accent5" w:themeShade="80"/>
                <w:sz w:val="24"/>
                <w:szCs w:val="24"/>
              </w:rPr>
              <w:t>QI Team:</w:t>
            </w:r>
            <w:r w:rsidR="00BE55A5">
              <w:rPr>
                <w:rFonts w:ascii="Corbel" w:hAnsi="Corbel" w:cs="Tahoma"/>
                <w:b/>
                <w:color w:val="215868" w:themeColor="accent5" w:themeShade="80"/>
                <w:sz w:val="24"/>
                <w:szCs w:val="24"/>
              </w:rPr>
              <w:t xml:space="preserve">   </w:t>
            </w:r>
            <w:r w:rsidR="00CB75FF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Kelly Molaski, </w:t>
            </w:r>
            <w:r w:rsidR="00BE55A5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>Nutrition Services</w:t>
            </w:r>
            <w:r w:rsidR="00CB75FF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 </w:t>
            </w:r>
            <w:r w:rsidR="00BE55A5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>Supervisor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97315D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Pr="00AE546B" w:rsidRDefault="00C2451C" w:rsidP="005C11C4">
            <w:pPr>
              <w:widowControl w:val="0"/>
              <w:ind w:left="432" w:firstLine="9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 xml:space="preserve">509 Girard Street, Bellingham,  </w:t>
            </w:r>
            <w:r w:rsidR="00776F39">
              <w:rPr>
                <w:rFonts w:ascii="Tahoma" w:hAnsi="Tahoma" w:cs="Tahoma"/>
                <w:smallCaps/>
              </w:rPr>
              <w:t>WA, 98266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C2451C" w:rsidRDefault="00CB75FF" w:rsidP="00BE55A5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Judy Ziels, </w:t>
            </w:r>
            <w:r w:rsidR="00BE55A5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Parent </w:t>
            </w: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Child </w:t>
            </w:r>
            <w:r w:rsidR="00BE55A5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Health </w:t>
            </w: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Supervisor 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3F6F75">
            <w:pPr>
              <w:widowControl w:val="0"/>
              <w:ind w:firstLine="720"/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Pr="00AE546B" w:rsidRDefault="00776F39" w:rsidP="005C11C4">
            <w:pPr>
              <w:widowControl w:val="0"/>
              <w:ind w:left="432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(360) 676-6724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C2451C" w:rsidRDefault="00CB75FF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>Susan Sloan, Performance Management Specialist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AE546B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Default="00776F39" w:rsidP="005C11C4">
            <w:pPr>
              <w:widowControl w:val="0"/>
              <w:ind w:left="432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75 employees, serving 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C2451C" w:rsidRDefault="00CB75FF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>Allison Williams</w:t>
            </w:r>
            <w:r w:rsidRPr="00C2451C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>WIC Certifier</w:t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</w:tcPr>
          <w:p w:rsidR="00776F39" w:rsidRDefault="00776F39" w:rsidP="00AE546B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776F39" w:rsidRDefault="00776F39" w:rsidP="005C11C4">
            <w:pPr>
              <w:widowControl w:val="0"/>
              <w:ind w:left="432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population of 201,140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6F39" w:rsidRPr="00C2451C" w:rsidRDefault="00CB75FF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>Astrid Newell</w:t>
            </w:r>
            <w:r w:rsidRPr="00C2451C"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  <w:t>Community Health Manager</w:t>
            </w:r>
          </w:p>
        </w:tc>
      </w:tr>
      <w:tr w:rsidR="00776F39" w:rsidRPr="00C2451C" w:rsidTr="00BE55A5">
        <w:trPr>
          <w:trHeight w:val="70"/>
        </w:trPr>
        <w:tc>
          <w:tcPr>
            <w:tcW w:w="1530" w:type="dxa"/>
            <w:tcBorders>
              <w:bottom w:val="single" w:sz="4" w:space="0" w:color="auto"/>
            </w:tcBorders>
          </w:tcPr>
          <w:p w:rsidR="00776F39" w:rsidRDefault="00776F39" w:rsidP="004F1FA7">
            <w:pPr>
              <w:widowControl w:val="0"/>
              <w:rPr>
                <w:rFonts w:ascii="Tahoma" w:hAnsi="Tahoma" w:cs="Tahoma"/>
                <w:smallCap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6F39" w:rsidRPr="00AE546B" w:rsidRDefault="00776F39" w:rsidP="004F1FA7">
            <w:pPr>
              <w:widowControl w:val="0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ab/>
            </w:r>
            <w:r>
              <w:rPr>
                <w:rFonts w:ascii="Tahoma" w:hAnsi="Tahoma" w:cs="Tahoma"/>
                <w:smallCaps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76F39" w:rsidRPr="00C2451C" w:rsidRDefault="00421CA5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color w:val="215868" w:themeColor="accent5" w:themeShade="8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600F54FE" wp14:editId="473C70A9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44450</wp:posOffset>
                  </wp:positionV>
                  <wp:extent cx="2047240" cy="1333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CQITeamPhoto07.31.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24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6F39" w:rsidRPr="00C2451C" w:rsidTr="00BE55A5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776F39" w:rsidRPr="00C2451C" w:rsidRDefault="00C2451C" w:rsidP="004F1FA7">
            <w:pPr>
              <w:widowControl w:val="0"/>
              <w:rPr>
                <w:rFonts w:ascii="Tahoma" w:hAnsi="Tahoma" w:cs="Tahoma"/>
                <w:smallCaps/>
                <w:sz w:val="24"/>
                <w:szCs w:val="24"/>
              </w:rPr>
            </w:pPr>
            <w:r>
              <w:rPr>
                <w:rFonts w:ascii="Corbel" w:hAnsi="Corbel" w:cs="Tahoma"/>
                <w:b/>
                <w:smallCaps/>
                <w:sz w:val="28"/>
                <w:szCs w:val="28"/>
              </w:rPr>
              <w:t xml:space="preserve"> </w:t>
            </w:r>
            <w:r w:rsidR="00776F39" w:rsidRPr="00C2451C">
              <w:rPr>
                <w:rFonts w:ascii="Corbel" w:hAnsi="Corbel" w:cs="Tahoma"/>
                <w:b/>
                <w:smallCaps/>
                <w:sz w:val="24"/>
                <w:szCs w:val="24"/>
              </w:rPr>
              <w:t>qi project: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776F39" w:rsidRPr="00C2451C" w:rsidRDefault="006D15B8" w:rsidP="006D15B8">
            <w:pPr>
              <w:widowControl w:val="0"/>
              <w:ind w:left="-918" w:firstLine="918"/>
              <w:rPr>
                <w:rFonts w:ascii="Tahoma" w:hAnsi="Tahoma" w:cs="Tahoma"/>
                <w:smallCaps/>
                <w:sz w:val="22"/>
                <w:szCs w:val="22"/>
              </w:rPr>
            </w:pPr>
            <w:r>
              <w:rPr>
                <w:rFonts w:ascii="Corbel" w:hAnsi="Corbel" w:cs="Tahoma"/>
                <w:b/>
                <w:i/>
                <w:smallCaps/>
                <w:sz w:val="22"/>
                <w:szCs w:val="22"/>
              </w:rPr>
              <w:t xml:space="preserve">improving </w:t>
            </w:r>
            <w:proofErr w:type="spellStart"/>
            <w:r>
              <w:rPr>
                <w:rFonts w:ascii="Corbel" w:hAnsi="Corbel" w:cs="Tahoma"/>
                <w:b/>
                <w:i/>
                <w:smallCaps/>
                <w:sz w:val="22"/>
                <w:szCs w:val="22"/>
              </w:rPr>
              <w:t>wic</w:t>
            </w:r>
            <w:proofErr w:type="spellEnd"/>
            <w:r>
              <w:rPr>
                <w:rFonts w:ascii="Corbel" w:hAnsi="Corbel" w:cs="Tahoma"/>
                <w:b/>
                <w:i/>
                <w:smallCaps/>
                <w:sz w:val="22"/>
                <w:szCs w:val="22"/>
              </w:rPr>
              <w:t xml:space="preserve"> scheduling efficiencies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:rsidR="00776F39" w:rsidRPr="00C2451C" w:rsidRDefault="00776F39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</w:p>
        </w:tc>
      </w:tr>
      <w:tr w:rsidR="00776F39" w:rsidRPr="00C2451C" w:rsidTr="00BE55A5">
        <w:trPr>
          <w:trHeight w:val="17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76F39" w:rsidRPr="00A0443F" w:rsidRDefault="00776F39" w:rsidP="00E8354C">
            <w:pPr>
              <w:widowControl w:val="0"/>
              <w:rPr>
                <w:rFonts w:ascii="Corbel" w:hAnsi="Corbel" w:cs="Tahoma"/>
                <w:b/>
                <w:smallCaps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776F39" w:rsidRPr="00C2451C" w:rsidRDefault="006D15B8" w:rsidP="00C2451C">
            <w:pPr>
              <w:widowControl w:val="0"/>
              <w:rPr>
                <w:rFonts w:ascii="Corbel" w:hAnsi="Corbel" w:cs="Tahoma"/>
                <w:b/>
                <w:i/>
                <w:smallCaps/>
                <w:sz w:val="22"/>
                <w:szCs w:val="22"/>
              </w:rPr>
            </w:pPr>
            <w:r>
              <w:rPr>
                <w:rFonts w:ascii="Corbel" w:hAnsi="Corbel" w:cs="Tahoma"/>
                <w:b/>
                <w:i/>
                <w:smallCaps/>
                <w:sz w:val="22"/>
                <w:szCs w:val="22"/>
              </w:rPr>
              <w:t>using quality improvement techniques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:rsidR="00776F39" w:rsidRPr="00C2451C" w:rsidRDefault="00776F39" w:rsidP="00256D7C">
            <w:pPr>
              <w:widowControl w:val="0"/>
              <w:jc w:val="right"/>
              <w:rPr>
                <w:rFonts w:asciiTheme="minorHAnsi" w:hAnsiTheme="minorHAnsi" w:cstheme="minorHAnsi"/>
                <w:color w:val="215868" w:themeColor="accent5" w:themeShade="80"/>
                <w:sz w:val="16"/>
                <w:szCs w:val="16"/>
              </w:rPr>
            </w:pPr>
          </w:p>
        </w:tc>
      </w:tr>
    </w:tbl>
    <w:p w:rsidR="00345C01" w:rsidRPr="00796698" w:rsidRDefault="00345C01" w:rsidP="00C7188E">
      <w:pPr>
        <w:widowControl w:val="0"/>
        <w:rPr>
          <w:rFonts w:ascii="Tahoma" w:hAnsi="Tahoma" w:cs="Tahoma"/>
          <w:sz w:val="24"/>
          <w:szCs w:val="24"/>
        </w:rPr>
        <w:sectPr w:rsidR="00345C01" w:rsidRPr="00796698" w:rsidSect="00A72D31">
          <w:headerReference w:type="default" r:id="rId11"/>
          <w:type w:val="continuous"/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96580B" w:rsidRDefault="0096580B" w:rsidP="000305B6">
      <w:pPr>
        <w:ind w:left="-450"/>
        <w:rPr>
          <w:rFonts w:ascii="Tahoma" w:hAnsi="Tahoma" w:cs="Tahoma"/>
          <w:sz w:val="18"/>
          <w:szCs w:val="18"/>
        </w:rPr>
      </w:pPr>
    </w:p>
    <w:p w:rsidR="000E2A2B" w:rsidRPr="000F29CF" w:rsidRDefault="00223CDF" w:rsidP="004113FC">
      <w:pPr>
        <w:ind w:left="-360"/>
        <w:rPr>
          <w:rFonts w:ascii="Tahoma" w:hAnsi="Tahoma" w:cs="Tahoma"/>
          <w:color w:val="244061" w:themeColor="accent1" w:themeShade="80"/>
          <w:sz w:val="16"/>
          <w:szCs w:val="16"/>
        </w:rPr>
      </w:pPr>
      <w:r w:rsidRPr="000F29CF">
        <w:rPr>
          <w:rFonts w:ascii="Tahoma" w:hAnsi="Tahoma" w:cs="Tahoma"/>
          <w:b/>
          <w:color w:val="244061" w:themeColor="accent1" w:themeShade="80"/>
          <w:sz w:val="16"/>
          <w:szCs w:val="16"/>
          <w:u w:val="single"/>
        </w:rPr>
        <w:t>DEFINITIONS</w:t>
      </w:r>
      <w:r w:rsidR="00B15859" w:rsidRPr="000F29CF">
        <w:rPr>
          <w:rFonts w:ascii="Tahoma" w:hAnsi="Tahoma" w:cs="Tahoma"/>
          <w:b/>
          <w:color w:val="244061" w:themeColor="accent1" w:themeShade="80"/>
          <w:sz w:val="16"/>
          <w:szCs w:val="16"/>
        </w:rPr>
        <w:t>:</w:t>
      </w:r>
    </w:p>
    <w:p w:rsidR="000F29CF" w:rsidRPr="000F29CF" w:rsidRDefault="000E2A2B" w:rsidP="004113FC">
      <w:pPr>
        <w:ind w:left="-360"/>
        <w:rPr>
          <w:rFonts w:ascii="Calibri" w:hAnsi="Calibri" w:cs="Calibri"/>
          <w:color w:val="1F497D"/>
          <w:sz w:val="17"/>
          <w:szCs w:val="17"/>
        </w:rPr>
      </w:pPr>
      <w:r w:rsidRPr="000F29CF">
        <w:rPr>
          <w:rFonts w:ascii="Tahoma" w:hAnsi="Tahoma" w:cs="Tahoma"/>
          <w:b/>
          <w:color w:val="244061" w:themeColor="accent1" w:themeShade="80"/>
          <w:sz w:val="17"/>
          <w:szCs w:val="17"/>
        </w:rPr>
        <w:t>WIC:</w:t>
      </w:r>
      <w:r w:rsidRPr="000F29CF">
        <w:rPr>
          <w:rFonts w:ascii="Tahoma" w:hAnsi="Tahoma" w:cs="Tahoma"/>
          <w:color w:val="244061" w:themeColor="accent1" w:themeShade="80"/>
          <w:sz w:val="17"/>
          <w:szCs w:val="17"/>
        </w:rPr>
        <w:t xml:space="preserve"> </w:t>
      </w:r>
      <w:r w:rsidR="0069676C" w:rsidRPr="000F29CF">
        <w:rPr>
          <w:rFonts w:ascii="Calibri" w:hAnsi="Calibri" w:cs="Calibri"/>
          <w:color w:val="1F497D"/>
          <w:sz w:val="17"/>
          <w:szCs w:val="17"/>
        </w:rPr>
        <w:t>A supplemental food and nutrition ed</w:t>
      </w:r>
      <w:r w:rsidR="000F29CF" w:rsidRPr="000F29CF">
        <w:rPr>
          <w:rFonts w:ascii="Calibri" w:hAnsi="Calibri" w:cs="Calibri"/>
          <w:color w:val="1F497D"/>
          <w:sz w:val="17"/>
          <w:szCs w:val="17"/>
        </w:rPr>
        <w:t xml:space="preserve">ucation program for eligible low-income </w:t>
      </w:r>
      <w:r w:rsidR="007B7B40">
        <w:rPr>
          <w:rFonts w:ascii="Calibri" w:hAnsi="Calibri" w:cs="Calibri"/>
          <w:color w:val="1F497D"/>
          <w:sz w:val="17"/>
          <w:szCs w:val="17"/>
        </w:rPr>
        <w:t>women, infants, &amp; children.</w:t>
      </w:r>
    </w:p>
    <w:p w:rsidR="0069676C" w:rsidRPr="000F29CF" w:rsidRDefault="000E2A2B" w:rsidP="004113FC">
      <w:pPr>
        <w:ind w:left="-360"/>
        <w:rPr>
          <w:rFonts w:ascii="Tahoma" w:hAnsi="Tahoma" w:cs="Tahoma"/>
          <w:color w:val="244061" w:themeColor="accent1" w:themeShade="80"/>
          <w:sz w:val="17"/>
          <w:szCs w:val="17"/>
        </w:rPr>
      </w:pPr>
      <w:r w:rsidRPr="000F29CF">
        <w:rPr>
          <w:rFonts w:ascii="Tahoma" w:hAnsi="Tahoma" w:cs="Tahoma"/>
          <w:b/>
          <w:color w:val="244061" w:themeColor="accent1" w:themeShade="80"/>
          <w:sz w:val="17"/>
          <w:szCs w:val="17"/>
        </w:rPr>
        <w:t>Second Education Contacts (2C’s):</w:t>
      </w:r>
      <w:r w:rsidR="0069676C" w:rsidRPr="000F29CF">
        <w:rPr>
          <w:rFonts w:ascii="Calibri" w:hAnsi="Calibri" w:cs="Calibri"/>
          <w:color w:val="1F497D"/>
          <w:sz w:val="17"/>
          <w:szCs w:val="17"/>
        </w:rPr>
        <w:t xml:space="preserve"> Required nutrition education provided to WIC participants.</w:t>
      </w:r>
    </w:p>
    <w:p w:rsidR="0030499C" w:rsidRPr="000F29CF" w:rsidRDefault="00421CA5" w:rsidP="004113FC">
      <w:pPr>
        <w:ind w:left="-360"/>
        <w:rPr>
          <w:rFonts w:ascii="Tahoma" w:hAnsi="Tahoma" w:cs="Tahoma"/>
          <w:color w:val="244061" w:themeColor="accent1" w:themeShade="80"/>
          <w:sz w:val="17"/>
          <w:szCs w:val="17"/>
        </w:rPr>
      </w:pPr>
      <w:r w:rsidRPr="000F29CF">
        <w:rPr>
          <w:rFonts w:ascii="Tahoma" w:hAnsi="Tahoma" w:cs="Tahoma"/>
          <w:b/>
          <w:color w:val="244061" w:themeColor="accent1" w:themeShade="80"/>
          <w:sz w:val="17"/>
          <w:szCs w:val="17"/>
        </w:rPr>
        <w:t xml:space="preserve">No show: </w:t>
      </w:r>
      <w:r w:rsidRPr="000F29CF">
        <w:rPr>
          <w:rFonts w:ascii="Tahoma" w:hAnsi="Tahoma" w:cs="Tahoma"/>
          <w:color w:val="244061" w:themeColor="accent1" w:themeShade="80"/>
          <w:sz w:val="17"/>
          <w:szCs w:val="17"/>
        </w:rPr>
        <w:t>A missed appointment.</w:t>
      </w:r>
    </w:p>
    <w:p w:rsidR="00BA2026" w:rsidRPr="000E2A2B" w:rsidRDefault="00621F26" w:rsidP="000E2A2B">
      <w:pPr>
        <w:ind w:left="-450"/>
        <w:rPr>
          <w:rFonts w:ascii="Tahoma" w:hAnsi="Tahoma" w:cs="Tahoma"/>
          <w:sz w:val="18"/>
          <w:szCs w:val="18"/>
        </w:rPr>
      </w:pP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  <w:r w:rsidRPr="000E2A2B">
        <w:rPr>
          <w:rFonts w:ascii="Tahoma" w:hAnsi="Tahoma" w:cs="Tahoma"/>
        </w:rPr>
        <w:tab/>
      </w:r>
    </w:p>
    <w:p w:rsidR="00183F69" w:rsidRDefault="00183F69" w:rsidP="00561F35">
      <w:pPr>
        <w:rPr>
          <w:rFonts w:ascii="Tahoma" w:hAnsi="Tahoma" w:cs="Tahoma"/>
        </w:rPr>
        <w:sectPr w:rsidR="00183F69" w:rsidSect="00704DE2">
          <w:type w:val="continuous"/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BA2026" w:rsidRPr="0096580B" w:rsidRDefault="008E6DA1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CCFF"/>
        <w:ind w:left="-45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</w:t>
      </w:r>
      <w:r w:rsidR="00BA2026" w:rsidRPr="0096580B">
        <w:rPr>
          <w:rFonts w:ascii="Tahoma" w:hAnsi="Tahoma" w:cs="Tahoma"/>
          <w:b/>
        </w:rPr>
        <w:t>LAN</w:t>
      </w:r>
    </w:p>
    <w:p w:rsidR="008C6974" w:rsidRPr="006D0567" w:rsidRDefault="00BA2026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CCFF"/>
        <w:ind w:left="-450"/>
        <w:jc w:val="center"/>
        <w:rPr>
          <w:rFonts w:ascii="Tahoma" w:hAnsi="Tahoma" w:cs="Tahoma"/>
        </w:rPr>
      </w:pPr>
      <w:r w:rsidRPr="006D0567">
        <w:rPr>
          <w:rFonts w:ascii="Tahoma" w:hAnsi="Tahoma" w:cs="Tahoma"/>
        </w:rPr>
        <w:t>Identify an opportunity and</w:t>
      </w:r>
    </w:p>
    <w:p w:rsidR="00BA2026" w:rsidRPr="001C3957" w:rsidRDefault="00BA2026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CCFF"/>
        <w:ind w:left="-450"/>
        <w:jc w:val="center"/>
        <w:rPr>
          <w:rFonts w:ascii="Tahoma" w:hAnsi="Tahoma" w:cs="Tahoma"/>
          <w:b/>
          <w:sz w:val="18"/>
          <w:szCs w:val="18"/>
        </w:rPr>
      </w:pPr>
      <w:r w:rsidRPr="006D0567">
        <w:rPr>
          <w:rFonts w:ascii="Tahoma" w:hAnsi="Tahoma" w:cs="Tahoma"/>
        </w:rPr>
        <w:t>Plan for Improvement</w:t>
      </w:r>
    </w:p>
    <w:p w:rsidR="008C6974" w:rsidRDefault="008C6974" w:rsidP="00561F35">
      <w:pPr>
        <w:rPr>
          <w:rFonts w:ascii="Tahoma" w:hAnsi="Tahoma" w:cs="Tahoma"/>
        </w:rPr>
      </w:pPr>
    </w:p>
    <w:p w:rsidR="008C6974" w:rsidRPr="007B7B40" w:rsidRDefault="008C6974" w:rsidP="000305B6">
      <w:pPr>
        <w:ind w:left="-450"/>
        <w:rPr>
          <w:rFonts w:ascii="Tahoma" w:hAnsi="Tahoma" w:cs="Tahoma"/>
          <w:b/>
        </w:rPr>
      </w:pPr>
      <w:r w:rsidRPr="007B7B40">
        <w:rPr>
          <w:rFonts w:ascii="Tahoma" w:hAnsi="Tahoma" w:cs="Tahoma"/>
          <w:b/>
        </w:rPr>
        <w:t>1.  Getting Started</w:t>
      </w:r>
    </w:p>
    <w:p w:rsidR="007109D6" w:rsidRPr="006D0567" w:rsidRDefault="006F6F8A" w:rsidP="000305B6">
      <w:pPr>
        <w:ind w:left="-450"/>
        <w:rPr>
          <w:rFonts w:ascii="Tahoma" w:hAnsi="Tahoma" w:cs="Tahoma"/>
        </w:rPr>
      </w:pPr>
      <w:r>
        <w:rPr>
          <w:rFonts w:ascii="Tahoma" w:hAnsi="Tahoma" w:cs="Tahoma"/>
        </w:rPr>
        <w:t xml:space="preserve">Our overall goal </w:t>
      </w:r>
      <w:r w:rsidR="0030499C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to increase the number of WIC-eligible clients served by maximizing use of available appointment time. As of July 2013, there were 1,966 WIC-eligible individuals on Medicaid</w:t>
      </w:r>
      <w:r w:rsidR="0030499C">
        <w:rPr>
          <w:rFonts w:ascii="Tahoma" w:hAnsi="Tahoma" w:cs="Tahoma"/>
        </w:rPr>
        <w:t xml:space="preserve"> in Whatcom County</w:t>
      </w:r>
      <w:r>
        <w:rPr>
          <w:rFonts w:ascii="Tahoma" w:hAnsi="Tahoma" w:cs="Tahoma"/>
        </w:rPr>
        <w:t xml:space="preserve"> who were not participating in a WIC program</w:t>
      </w:r>
      <w:r w:rsidR="0030499C">
        <w:rPr>
          <w:rFonts w:ascii="Tahoma" w:hAnsi="Tahoma" w:cs="Tahoma"/>
        </w:rPr>
        <w:t>. These individuals miss out on $600 worth of food each year plus the nutrition education benefits of WIC.</w:t>
      </w:r>
    </w:p>
    <w:p w:rsidR="007109D6" w:rsidRPr="00B15859" w:rsidRDefault="007109D6" w:rsidP="000305B6">
      <w:pPr>
        <w:ind w:left="-450" w:firstLine="450"/>
        <w:rPr>
          <w:rFonts w:ascii="Tahoma" w:hAnsi="Tahoma" w:cs="Tahoma"/>
          <w:sz w:val="16"/>
          <w:szCs w:val="16"/>
        </w:rPr>
      </w:pPr>
    </w:p>
    <w:p w:rsidR="007109D6" w:rsidRDefault="007109D6" w:rsidP="000305B6">
      <w:pPr>
        <w:ind w:left="-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 Assembl</w:t>
      </w:r>
      <w:r w:rsidR="001E2B97">
        <w:rPr>
          <w:rFonts w:ascii="Tahoma" w:hAnsi="Tahoma" w:cs="Tahoma"/>
          <w:b/>
        </w:rPr>
        <w:t>e t</w:t>
      </w:r>
      <w:r>
        <w:rPr>
          <w:rFonts w:ascii="Tahoma" w:hAnsi="Tahoma" w:cs="Tahoma"/>
          <w:b/>
        </w:rPr>
        <w:t>he Team</w:t>
      </w:r>
    </w:p>
    <w:p w:rsidR="007109D6" w:rsidRPr="00DE6D3F" w:rsidRDefault="001530F9" w:rsidP="000305B6">
      <w:pPr>
        <w:ind w:left="-450"/>
        <w:rPr>
          <w:rFonts w:ascii="Tahoma" w:hAnsi="Tahoma" w:cs="Tahoma"/>
          <w:sz w:val="18"/>
          <w:szCs w:val="18"/>
        </w:rPr>
      </w:pPr>
      <w:r w:rsidRPr="006D0567">
        <w:rPr>
          <w:rFonts w:ascii="Tahoma" w:hAnsi="Tahoma" w:cs="Tahoma"/>
        </w:rPr>
        <w:t xml:space="preserve">Our diverse team </w:t>
      </w:r>
      <w:r w:rsidR="006D0567">
        <w:rPr>
          <w:rFonts w:ascii="Tahoma" w:hAnsi="Tahoma" w:cs="Tahoma"/>
        </w:rPr>
        <w:t>included</w:t>
      </w:r>
      <w:r w:rsidRPr="006D0567">
        <w:rPr>
          <w:rFonts w:ascii="Tahoma" w:hAnsi="Tahoma" w:cs="Tahoma"/>
        </w:rPr>
        <w:t xml:space="preserve"> </w:t>
      </w:r>
      <w:r w:rsidR="006F6F8A">
        <w:rPr>
          <w:rFonts w:ascii="Tahoma" w:hAnsi="Tahoma" w:cs="Tahoma"/>
        </w:rPr>
        <w:t>WIC supervisory staff, a WIC certifier</w:t>
      </w:r>
      <w:r w:rsidR="0030499C">
        <w:rPr>
          <w:rFonts w:ascii="Tahoma" w:hAnsi="Tahoma" w:cs="Tahoma"/>
        </w:rPr>
        <w:t>,</w:t>
      </w:r>
      <w:r w:rsidR="006F6F8A">
        <w:rPr>
          <w:rFonts w:ascii="Tahoma" w:hAnsi="Tahoma" w:cs="Tahoma"/>
        </w:rPr>
        <w:t xml:space="preserve"> and our </w:t>
      </w:r>
      <w:r w:rsidR="0030499C">
        <w:rPr>
          <w:rFonts w:ascii="Tahoma" w:hAnsi="Tahoma" w:cs="Tahoma"/>
        </w:rPr>
        <w:t>QI facilitator</w:t>
      </w:r>
      <w:r w:rsidR="006F6F8A">
        <w:rPr>
          <w:rFonts w:ascii="Tahoma" w:hAnsi="Tahoma" w:cs="Tahoma"/>
        </w:rPr>
        <w:t xml:space="preserve">. We received </w:t>
      </w:r>
      <w:r w:rsidR="0030499C">
        <w:rPr>
          <w:rFonts w:ascii="Tahoma" w:hAnsi="Tahoma" w:cs="Tahoma"/>
        </w:rPr>
        <w:t xml:space="preserve">monthly </w:t>
      </w:r>
      <w:r w:rsidR="006F6F8A">
        <w:rPr>
          <w:rFonts w:ascii="Tahoma" w:hAnsi="Tahoma" w:cs="Tahoma"/>
        </w:rPr>
        <w:t>technical support from DOH’s Centers for Performance Manag</w:t>
      </w:r>
      <w:r w:rsidR="0030499C">
        <w:rPr>
          <w:rFonts w:ascii="Tahoma" w:hAnsi="Tahoma" w:cs="Tahoma"/>
        </w:rPr>
        <w:t>ement Excellence as part of a $10,000 QI grant.</w:t>
      </w:r>
    </w:p>
    <w:p w:rsidR="00B67E86" w:rsidRDefault="00B67E86" w:rsidP="00B67E86">
      <w:pPr>
        <w:rPr>
          <w:rFonts w:ascii="Tahoma" w:hAnsi="Tahoma" w:cs="Tahoma"/>
        </w:rPr>
      </w:pPr>
    </w:p>
    <w:p w:rsidR="00B67E86" w:rsidRDefault="00B67E86" w:rsidP="000305B6">
      <w:pPr>
        <w:ind w:left="-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</w:t>
      </w:r>
      <w:r w:rsidRPr="00C03273">
        <w:rPr>
          <w:rFonts w:ascii="Tahoma" w:hAnsi="Tahoma" w:cs="Tahoma"/>
          <w:b/>
          <w:spacing w:val="-20"/>
        </w:rPr>
        <w:t>Examine the Current Approach</w:t>
      </w:r>
    </w:p>
    <w:p w:rsidR="00C233A6" w:rsidRPr="006D0567" w:rsidRDefault="00C233A6" w:rsidP="00C233A6">
      <w:pPr>
        <w:ind w:left="-450"/>
        <w:rPr>
          <w:rFonts w:ascii="Tahoma" w:hAnsi="Tahoma" w:cs="Tahoma"/>
        </w:rPr>
      </w:pPr>
      <w:r>
        <w:rPr>
          <w:rFonts w:ascii="Tahoma" w:hAnsi="Tahoma" w:cs="Tahoma"/>
        </w:rPr>
        <w:t>We focused our efforts on process improvements to increase scheduling efficiencies</w:t>
      </w:r>
      <w:r w:rsidR="00421CA5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 xml:space="preserve"> improve customer</w:t>
      </w:r>
      <w:r w:rsidR="00421CA5">
        <w:rPr>
          <w:rFonts w:ascii="Tahoma" w:hAnsi="Tahoma" w:cs="Tahoma"/>
        </w:rPr>
        <w:t xml:space="preserve"> satisfaction</w:t>
      </w:r>
      <w:r>
        <w:rPr>
          <w:rFonts w:ascii="Tahoma" w:hAnsi="Tahoma" w:cs="Tahoma"/>
        </w:rPr>
        <w:t>.</w:t>
      </w:r>
    </w:p>
    <w:p w:rsidR="00D477DD" w:rsidRDefault="005B47ED" w:rsidP="00B67E86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pt;margin-top:8.7pt;width:180pt;height:73.7pt;z-index:251667968" fillcolor="#fabf8f [1945]">
            <v:textbox style="mso-next-textbox:#_x0000_s1029">
              <w:txbxContent>
                <w:p w:rsidR="0060761A" w:rsidRPr="0096580B" w:rsidRDefault="0060761A" w:rsidP="0096580B">
                  <w:pPr>
                    <w:jc w:val="center"/>
                    <w:rPr>
                      <w:rFonts w:ascii="Corbel" w:hAnsi="Corbel"/>
                      <w:b/>
                    </w:rPr>
                  </w:pPr>
                  <w:r w:rsidRPr="0096580B">
                    <w:rPr>
                      <w:rFonts w:ascii="Corbel" w:hAnsi="Corbel"/>
                      <w:b/>
                    </w:rPr>
                    <w:t>AIM STATEMENT:</w:t>
                  </w:r>
                </w:p>
                <w:p w:rsidR="0060761A" w:rsidRPr="006D0567" w:rsidRDefault="0030499C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By August 1, 2013, increase the number of eligible WIC clients served by maximizing use of available appointment time.</w:t>
                  </w:r>
                </w:p>
              </w:txbxContent>
            </v:textbox>
          </v:shape>
        </w:pict>
      </w:r>
    </w:p>
    <w:p w:rsidR="00080EFF" w:rsidRDefault="00080EFF" w:rsidP="00080EFF">
      <w:pPr>
        <w:rPr>
          <w:rFonts w:ascii="Tahoma" w:hAnsi="Tahoma" w:cs="Tahoma"/>
          <w:b/>
          <w:highlight w:val="lightGray"/>
          <w:u w:val="single"/>
        </w:rPr>
      </w:pPr>
    </w:p>
    <w:p w:rsidR="00080EFF" w:rsidRDefault="00080EFF" w:rsidP="00080EFF">
      <w:pPr>
        <w:rPr>
          <w:rFonts w:ascii="Tahoma" w:hAnsi="Tahoma" w:cs="Tahoma"/>
          <w:b/>
          <w:highlight w:val="lightGray"/>
          <w:u w:val="single"/>
        </w:rPr>
      </w:pPr>
    </w:p>
    <w:p w:rsidR="00080EFF" w:rsidRDefault="00080EFF" w:rsidP="00080EFF">
      <w:pPr>
        <w:rPr>
          <w:rFonts w:ascii="Tahoma" w:hAnsi="Tahoma" w:cs="Tahoma"/>
          <w:b/>
          <w:highlight w:val="lightGray"/>
          <w:u w:val="single"/>
        </w:rPr>
      </w:pPr>
    </w:p>
    <w:p w:rsidR="00080EFF" w:rsidRDefault="00F82484" w:rsidP="00080EFF">
      <w:pPr>
        <w:rPr>
          <w:rFonts w:ascii="Tahoma" w:hAnsi="Tahoma" w:cs="Tahoma"/>
          <w:b/>
          <w:highlight w:val="lightGray"/>
          <w:u w:val="single"/>
        </w:rPr>
      </w:pPr>
      <w:r>
        <w:rPr>
          <w:rFonts w:ascii="Tahoma" w:hAnsi="Tahoma" w:cs="Tahoma"/>
        </w:rPr>
        <w:t>The team conducted a detailed</w:t>
      </w:r>
    </w:p>
    <w:p w:rsidR="00080EFF" w:rsidRDefault="00F82484" w:rsidP="00080EFF">
      <w:pPr>
        <w:rPr>
          <w:rFonts w:ascii="Tahoma" w:hAnsi="Tahoma" w:cs="Tahoma"/>
          <w:b/>
          <w:highlight w:val="lightGray"/>
          <w:u w:val="single"/>
        </w:rPr>
      </w:pPr>
      <w:proofErr w:type="gramStart"/>
      <w:r>
        <w:rPr>
          <w:rFonts w:ascii="Tahoma" w:hAnsi="Tahoma" w:cs="Tahoma"/>
        </w:rPr>
        <w:t>review</w:t>
      </w:r>
      <w:proofErr w:type="gramEnd"/>
      <w:r>
        <w:rPr>
          <w:rFonts w:ascii="Tahoma" w:hAnsi="Tahoma" w:cs="Tahoma"/>
        </w:rPr>
        <w:t xml:space="preserve"> of</w:t>
      </w:r>
    </w:p>
    <w:p w:rsidR="00080EFF" w:rsidRDefault="00F82484" w:rsidP="00080EFF">
      <w:pPr>
        <w:rPr>
          <w:rFonts w:ascii="Tahoma" w:hAnsi="Tahoma" w:cs="Tahoma"/>
          <w:b/>
          <w:highlight w:val="lightGray"/>
          <w:u w:val="single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VFC</w:t>
      </w:r>
    </w:p>
    <w:p w:rsidR="006E69A7" w:rsidRDefault="006E69A7" w:rsidP="00C233A6">
      <w:pPr>
        <w:ind w:left="-450"/>
        <w:rPr>
          <w:rFonts w:ascii="Tahoma" w:hAnsi="Tahoma" w:cs="Tahoma"/>
        </w:rPr>
      </w:pPr>
    </w:p>
    <w:p w:rsidR="00C233A6" w:rsidRDefault="00C233A6" w:rsidP="00C233A6">
      <w:pPr>
        <w:pStyle w:val="ListParagraph"/>
        <w:numPr>
          <w:ilvl w:val="0"/>
          <w:numId w:val="6"/>
        </w:numPr>
        <w:ind w:left="-90"/>
        <w:rPr>
          <w:rFonts w:ascii="Tahoma" w:hAnsi="Tahoma" w:cs="Tahoma"/>
        </w:rPr>
      </w:pPr>
      <w:r w:rsidRPr="00C233A6">
        <w:rPr>
          <w:rFonts w:ascii="Tahoma" w:hAnsi="Tahoma" w:cs="Tahoma"/>
        </w:rPr>
        <w:t>The team identified the root cause of missed client appointments: 52% for</w:t>
      </w:r>
      <w:r>
        <w:rPr>
          <w:rFonts w:ascii="Tahoma" w:hAnsi="Tahoma" w:cs="Tahoma"/>
        </w:rPr>
        <w:t>got the appointment (13 of 25).</w:t>
      </w:r>
    </w:p>
    <w:p w:rsidR="00421CA5" w:rsidRPr="00421CA5" w:rsidRDefault="00421CA5" w:rsidP="00421CA5">
      <w:pPr>
        <w:rPr>
          <w:rFonts w:ascii="Tahoma" w:hAnsi="Tahoma" w:cs="Tahoma"/>
        </w:rPr>
      </w:pPr>
    </w:p>
    <w:p w:rsidR="0029019C" w:rsidRPr="00C233A6" w:rsidRDefault="00C233A6" w:rsidP="00C233A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C233A6">
        <w:rPr>
          <w:rFonts w:ascii="Tahoma" w:hAnsi="Tahoma" w:cs="Tahoma"/>
        </w:rPr>
        <w:lastRenderedPageBreak/>
        <w:t xml:space="preserve">Of all clients, 2C’s had the highest </w:t>
      </w:r>
      <w:r w:rsidR="00421CA5">
        <w:rPr>
          <w:rFonts w:ascii="Tahoma" w:hAnsi="Tahoma" w:cs="Tahoma"/>
        </w:rPr>
        <w:t>“no show” rate</w:t>
      </w:r>
      <w:r w:rsidRPr="00C233A6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32%.</w:t>
      </w:r>
      <w:r w:rsidRPr="00C233A6">
        <w:rPr>
          <w:rFonts w:ascii="Tahoma" w:hAnsi="Tahoma" w:cs="Tahoma"/>
        </w:rPr>
        <w:t xml:space="preserve">               </w:t>
      </w:r>
    </w:p>
    <w:p w:rsidR="007109D6" w:rsidRDefault="007109D6" w:rsidP="00C233A6">
      <w:pPr>
        <w:ind w:left="-90"/>
        <w:rPr>
          <w:rFonts w:ascii="Tahoma" w:hAnsi="Tahoma" w:cs="Tahoma"/>
        </w:rPr>
      </w:pPr>
    </w:p>
    <w:p w:rsidR="00C03273" w:rsidRDefault="00C03273" w:rsidP="00C233A6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 </w:t>
      </w:r>
      <w:r>
        <w:rPr>
          <w:rFonts w:ascii="Tahoma" w:hAnsi="Tahoma" w:cs="Tahoma"/>
          <w:b/>
          <w:spacing w:val="-20"/>
        </w:rPr>
        <w:t>Identify Potential Solutions</w:t>
      </w:r>
    </w:p>
    <w:p w:rsidR="00C03273" w:rsidRDefault="00B7025A" w:rsidP="00C233A6">
      <w:pPr>
        <w:ind w:left="-90"/>
        <w:rPr>
          <w:rFonts w:ascii="Tahoma" w:hAnsi="Tahoma" w:cs="Tahoma"/>
        </w:rPr>
      </w:pPr>
      <w:r>
        <w:rPr>
          <w:rFonts w:ascii="Tahoma" w:hAnsi="Tahoma" w:cs="Tahoma"/>
        </w:rPr>
        <w:t>The following potential changes were identified:</w:t>
      </w:r>
    </w:p>
    <w:p w:rsidR="00421CA5" w:rsidRDefault="00421CA5" w:rsidP="003A079A">
      <w:pPr>
        <w:pStyle w:val="ListParagraph"/>
        <w:numPr>
          <w:ilvl w:val="0"/>
          <w:numId w:val="7"/>
        </w:numPr>
        <w:ind w:left="270"/>
        <w:rPr>
          <w:rFonts w:ascii="Tahoma" w:hAnsi="Tahoma" w:cs="Tahoma"/>
        </w:rPr>
      </w:pPr>
      <w:r>
        <w:rPr>
          <w:rFonts w:ascii="Tahoma" w:hAnsi="Tahoma" w:cs="Tahoma"/>
        </w:rPr>
        <w:t>Improve our client appointment reminder system</w:t>
      </w:r>
      <w:r w:rsidR="003A079A">
        <w:rPr>
          <w:rFonts w:ascii="Tahoma" w:hAnsi="Tahoma" w:cs="Tahoma"/>
        </w:rPr>
        <w:t xml:space="preserve"> by calling two days before the appointment rather than the current practice of calling one day before.</w:t>
      </w:r>
    </w:p>
    <w:p w:rsidR="003A079A" w:rsidRPr="003A079A" w:rsidRDefault="003A079A" w:rsidP="003A079A">
      <w:pPr>
        <w:pStyle w:val="ListParagraph"/>
        <w:numPr>
          <w:ilvl w:val="0"/>
          <w:numId w:val="7"/>
        </w:numPr>
        <w:ind w:left="270"/>
        <w:rPr>
          <w:rFonts w:ascii="Tahoma" w:hAnsi="Tahoma" w:cs="Tahoma"/>
        </w:rPr>
      </w:pPr>
      <w:r>
        <w:rPr>
          <w:rFonts w:ascii="Tahoma" w:hAnsi="Tahoma" w:cs="Tahoma"/>
        </w:rPr>
        <w:t>Provide 2C clients with additional options for nutrition education that do not require a formal one-on-one appointment with a WIC certifier.</w:t>
      </w:r>
    </w:p>
    <w:p w:rsidR="00C03273" w:rsidRDefault="00C03273" w:rsidP="00C233A6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 </w:t>
      </w:r>
      <w:r>
        <w:rPr>
          <w:rFonts w:ascii="Tahoma" w:hAnsi="Tahoma" w:cs="Tahoma"/>
          <w:b/>
          <w:spacing w:val="-20"/>
        </w:rPr>
        <w:t>Develop an Improvement Theory</w:t>
      </w:r>
    </w:p>
    <w:p w:rsidR="003A079A" w:rsidRDefault="0049704F" w:rsidP="003A079A">
      <w:pPr>
        <w:pStyle w:val="ListParagraph"/>
        <w:numPr>
          <w:ilvl w:val="0"/>
          <w:numId w:val="8"/>
        </w:numPr>
        <w:ind w:left="270"/>
        <w:rPr>
          <w:rFonts w:ascii="Tahoma" w:hAnsi="Tahoma" w:cs="Tahoma"/>
          <w:i/>
        </w:rPr>
      </w:pPr>
      <w:r w:rsidRPr="003A079A">
        <w:rPr>
          <w:rFonts w:ascii="Tahoma" w:hAnsi="Tahoma" w:cs="Tahoma"/>
          <w:b/>
          <w:i/>
        </w:rPr>
        <w:t xml:space="preserve">If </w:t>
      </w:r>
      <w:r w:rsidR="003A079A" w:rsidRPr="003A079A">
        <w:rPr>
          <w:rFonts w:ascii="Tahoma" w:hAnsi="Tahoma" w:cs="Tahoma"/>
          <w:i/>
        </w:rPr>
        <w:t>we reduce no show appointments</w:t>
      </w:r>
      <w:r w:rsidRPr="003A079A">
        <w:rPr>
          <w:rFonts w:ascii="Tahoma" w:hAnsi="Tahoma" w:cs="Tahoma"/>
          <w:i/>
        </w:rPr>
        <w:t xml:space="preserve"> </w:t>
      </w:r>
      <w:r w:rsidRPr="003A079A">
        <w:rPr>
          <w:rFonts w:ascii="Tahoma" w:hAnsi="Tahoma" w:cs="Tahoma"/>
          <w:b/>
          <w:i/>
        </w:rPr>
        <w:t>then</w:t>
      </w:r>
      <w:r w:rsidRPr="003A079A">
        <w:rPr>
          <w:rFonts w:ascii="Tahoma" w:hAnsi="Tahoma" w:cs="Tahoma"/>
          <w:i/>
        </w:rPr>
        <w:t xml:space="preserve"> </w:t>
      </w:r>
      <w:r w:rsidR="003A079A" w:rsidRPr="003A079A">
        <w:rPr>
          <w:rFonts w:ascii="Tahoma" w:hAnsi="Tahoma" w:cs="Tahoma"/>
          <w:i/>
        </w:rPr>
        <w:t>our overall caseload will go up.</w:t>
      </w:r>
    </w:p>
    <w:p w:rsidR="00C03273" w:rsidRPr="003A079A" w:rsidRDefault="003A079A" w:rsidP="003A079A">
      <w:pPr>
        <w:pStyle w:val="ListParagraph"/>
        <w:numPr>
          <w:ilvl w:val="0"/>
          <w:numId w:val="8"/>
        </w:numPr>
        <w:ind w:left="270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>I</w:t>
      </w:r>
      <w:r w:rsidRPr="003A079A">
        <w:rPr>
          <w:rFonts w:ascii="Tahoma" w:hAnsi="Tahoma" w:cs="Tahoma"/>
          <w:b/>
          <w:i/>
        </w:rPr>
        <w:t xml:space="preserve">f </w:t>
      </w:r>
      <w:r w:rsidRPr="003A079A">
        <w:rPr>
          <w:rFonts w:ascii="Tahoma" w:hAnsi="Tahoma" w:cs="Tahoma"/>
          <w:i/>
        </w:rPr>
        <w:t>we have fewer 2C clients</w:t>
      </w:r>
      <w:r>
        <w:rPr>
          <w:rFonts w:ascii="Tahoma" w:hAnsi="Tahoma" w:cs="Tahoma"/>
          <w:i/>
        </w:rPr>
        <w:t xml:space="preserve"> needing 15-minute one-on-one appointments with a WIC certifier, then we will have additional appointment time available for new clients.</w:t>
      </w:r>
      <w:r w:rsidRPr="003A079A">
        <w:rPr>
          <w:rFonts w:ascii="Tahoma" w:hAnsi="Tahoma" w:cs="Tahoma"/>
          <w:i/>
        </w:rPr>
        <w:t xml:space="preserve"> </w:t>
      </w:r>
    </w:p>
    <w:p w:rsidR="005C1651" w:rsidRDefault="005C1651" w:rsidP="00C233A6">
      <w:pPr>
        <w:ind w:left="-90"/>
        <w:rPr>
          <w:rFonts w:ascii="Tahoma" w:hAnsi="Tahoma" w:cs="Tahoma"/>
        </w:rPr>
      </w:pPr>
    </w:p>
    <w:p w:rsidR="00C03273" w:rsidRPr="0096580B" w:rsidRDefault="00C03273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90"/>
        <w:jc w:val="center"/>
        <w:rPr>
          <w:rFonts w:ascii="Tahoma" w:hAnsi="Tahoma" w:cs="Tahoma"/>
          <w:b/>
        </w:rPr>
      </w:pPr>
      <w:r w:rsidRPr="0096580B">
        <w:rPr>
          <w:rFonts w:ascii="Tahoma" w:hAnsi="Tahoma" w:cs="Tahoma"/>
          <w:b/>
        </w:rPr>
        <w:t>DO</w:t>
      </w:r>
    </w:p>
    <w:p w:rsidR="00C03273" w:rsidRDefault="00C03273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left="-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Test the Theory for Improvement</w:t>
      </w:r>
    </w:p>
    <w:p w:rsidR="00C03273" w:rsidRDefault="00C03273" w:rsidP="00C233A6">
      <w:pPr>
        <w:ind w:left="-90"/>
        <w:rPr>
          <w:rFonts w:ascii="Tahoma" w:hAnsi="Tahoma" w:cs="Tahoma"/>
          <w:b/>
        </w:rPr>
      </w:pPr>
    </w:p>
    <w:p w:rsidR="00C03273" w:rsidRDefault="00C03273" w:rsidP="00C233A6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 Test the Theory</w:t>
      </w:r>
    </w:p>
    <w:p w:rsidR="00C03273" w:rsidRDefault="00283F46" w:rsidP="00283F46">
      <w:pPr>
        <w:pStyle w:val="ListParagraph"/>
        <w:numPr>
          <w:ilvl w:val="0"/>
          <w:numId w:val="9"/>
        </w:num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For a period of </w:t>
      </w:r>
      <w:r w:rsidR="0069676C">
        <w:rPr>
          <w:rFonts w:ascii="Tahoma" w:hAnsi="Tahoma" w:cs="Tahoma"/>
        </w:rPr>
        <w:t xml:space="preserve">3 </w:t>
      </w:r>
      <w:r>
        <w:rPr>
          <w:rFonts w:ascii="Tahoma" w:hAnsi="Tahoma" w:cs="Tahoma"/>
        </w:rPr>
        <w:t>weeks our clerk called clients two days before the appointment as a reminder.</w:t>
      </w:r>
    </w:p>
    <w:p w:rsidR="00283F46" w:rsidRDefault="00283F46" w:rsidP="00283F46">
      <w:pPr>
        <w:pStyle w:val="ListParagraph"/>
        <w:numPr>
          <w:ilvl w:val="0"/>
          <w:numId w:val="9"/>
        </w:numPr>
        <w:ind w:left="270"/>
        <w:rPr>
          <w:rFonts w:ascii="Tahoma" w:hAnsi="Tahoma" w:cs="Tahoma"/>
        </w:rPr>
      </w:pPr>
      <w:r>
        <w:rPr>
          <w:rFonts w:ascii="Tahoma" w:hAnsi="Tahoma" w:cs="Tahoma"/>
        </w:rPr>
        <w:t>A client Education Room was created to accommodate clients preferring this option to a 15-minute in-person meeting. Clients were surveyed regarding their experience.</w:t>
      </w:r>
    </w:p>
    <w:p w:rsidR="00283F46" w:rsidRDefault="00283F46" w:rsidP="00283F46">
      <w:pPr>
        <w:rPr>
          <w:rFonts w:ascii="Tahoma" w:hAnsi="Tahoma" w:cs="Tahoma"/>
        </w:rPr>
      </w:pPr>
    </w:p>
    <w:p w:rsidR="00283F46" w:rsidRPr="00283F46" w:rsidRDefault="00283F46" w:rsidP="00283F46">
      <w:pPr>
        <w:rPr>
          <w:rFonts w:ascii="Tahoma" w:hAnsi="Tahoma" w:cs="Tahoma"/>
        </w:rPr>
      </w:pPr>
    </w:p>
    <w:p w:rsidR="0096580B" w:rsidRDefault="0096580B" w:rsidP="00C233A6">
      <w:pPr>
        <w:ind w:left="-90"/>
        <w:rPr>
          <w:rFonts w:ascii="Tahoma" w:hAnsi="Tahoma" w:cs="Tahoma"/>
        </w:rPr>
      </w:pPr>
    </w:p>
    <w:p w:rsidR="001B7841" w:rsidRDefault="001B7841" w:rsidP="00C233A6">
      <w:pPr>
        <w:ind w:left="-90"/>
        <w:rPr>
          <w:rFonts w:ascii="Tahoma" w:hAnsi="Tahoma" w:cs="Tahoma"/>
        </w:rPr>
      </w:pPr>
    </w:p>
    <w:p w:rsidR="00C03273" w:rsidRPr="00684612" w:rsidRDefault="007E4F06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99CCFF"/>
        <w:ind w:left="-9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CHECK</w:t>
      </w:r>
    </w:p>
    <w:p w:rsidR="00C03273" w:rsidRDefault="00C03273" w:rsidP="00C2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99CCFF"/>
        <w:ind w:left="-9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Use Data to Study Results </w:t>
      </w:r>
      <w:r w:rsidR="0096580B">
        <w:rPr>
          <w:rFonts w:ascii="Tahoma" w:hAnsi="Tahoma" w:cs="Tahoma"/>
        </w:rPr>
        <w:t xml:space="preserve">of the </w:t>
      </w:r>
      <w:r>
        <w:rPr>
          <w:rFonts w:ascii="Tahoma" w:hAnsi="Tahoma" w:cs="Tahoma"/>
        </w:rPr>
        <w:t>Test</w:t>
      </w:r>
    </w:p>
    <w:p w:rsidR="00C03273" w:rsidRDefault="00C03273" w:rsidP="00C233A6">
      <w:pPr>
        <w:ind w:left="-90"/>
        <w:rPr>
          <w:rFonts w:ascii="Tahoma" w:hAnsi="Tahoma" w:cs="Tahoma"/>
        </w:rPr>
      </w:pPr>
    </w:p>
    <w:p w:rsidR="00C03273" w:rsidRDefault="000F3E64" w:rsidP="00C233A6">
      <w:pPr>
        <w:ind w:left="-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C03273">
        <w:rPr>
          <w:rFonts w:ascii="Tahoma" w:hAnsi="Tahoma" w:cs="Tahoma"/>
          <w:b/>
        </w:rPr>
        <w:t xml:space="preserve">.  </w:t>
      </w:r>
      <w:r>
        <w:rPr>
          <w:rFonts w:ascii="Tahoma" w:hAnsi="Tahoma" w:cs="Tahoma"/>
          <w:b/>
        </w:rPr>
        <w:t>Study the Results</w:t>
      </w:r>
    </w:p>
    <w:p w:rsidR="00C03273" w:rsidRDefault="00223CDF" w:rsidP="00223CDF">
      <w:pPr>
        <w:pStyle w:val="ListParagraph"/>
        <w:numPr>
          <w:ilvl w:val="0"/>
          <w:numId w:val="10"/>
        </w:numPr>
        <w:ind w:left="270" w:right="-360"/>
        <w:rPr>
          <w:rFonts w:ascii="Tahoma" w:hAnsi="Tahoma" w:cs="Tahoma"/>
        </w:rPr>
      </w:pPr>
      <w:r>
        <w:rPr>
          <w:rFonts w:ascii="Tahoma" w:hAnsi="Tahoma" w:cs="Tahoma"/>
        </w:rPr>
        <w:t>Calling clients two days prior to an appointment did not improve “no show” rates. Unfilled time increased for certifiers from 11% to 15%.</w:t>
      </w:r>
    </w:p>
    <w:p w:rsidR="00C03273" w:rsidRDefault="007D11C7" w:rsidP="00C03273">
      <w:pPr>
        <w:pStyle w:val="ListParagraph"/>
        <w:numPr>
          <w:ilvl w:val="0"/>
          <w:numId w:val="10"/>
        </w:numPr>
        <w:ind w:left="270" w:right="-360"/>
        <w:rPr>
          <w:rFonts w:ascii="Tahoma" w:hAnsi="Tahoma" w:cs="Tahoma"/>
        </w:rPr>
      </w:pPr>
      <w:r>
        <w:rPr>
          <w:rFonts w:ascii="Tahoma" w:hAnsi="Tahoma" w:cs="Tahoma"/>
        </w:rPr>
        <w:t>We estimate that between 360-720 clients will use the Education Room annually (15 minutes of certifier time saved per client) for an annual cost savings in the range of $</w:t>
      </w:r>
      <w:r w:rsidR="00E90FFF">
        <w:rPr>
          <w:rFonts w:ascii="Tahoma" w:hAnsi="Tahoma" w:cs="Tahoma"/>
        </w:rPr>
        <w:t>3,500-$7,000.</w:t>
      </w:r>
    </w:p>
    <w:p w:rsidR="00C03273" w:rsidRDefault="00223CDF" w:rsidP="00C03273">
      <w:pPr>
        <w:pStyle w:val="ListParagraph"/>
        <w:numPr>
          <w:ilvl w:val="0"/>
          <w:numId w:val="10"/>
        </w:numPr>
        <w:ind w:left="270" w:right="-360"/>
        <w:rPr>
          <w:rFonts w:ascii="Tahoma" w:hAnsi="Tahoma" w:cs="Tahoma"/>
        </w:rPr>
      </w:pPr>
      <w:r w:rsidRPr="001C0218">
        <w:rPr>
          <w:rFonts w:ascii="Tahoma" w:hAnsi="Tahoma" w:cs="Tahoma"/>
        </w:rPr>
        <w:t xml:space="preserve">61% of </w:t>
      </w:r>
      <w:r w:rsidR="001C0218" w:rsidRPr="001C0218">
        <w:rPr>
          <w:rFonts w:ascii="Tahoma" w:hAnsi="Tahoma" w:cs="Tahoma"/>
        </w:rPr>
        <w:t xml:space="preserve">the </w:t>
      </w:r>
      <w:r w:rsidRPr="001C0218">
        <w:rPr>
          <w:rFonts w:ascii="Tahoma" w:hAnsi="Tahoma" w:cs="Tahoma"/>
        </w:rPr>
        <w:t xml:space="preserve">clients </w:t>
      </w:r>
      <w:r w:rsidR="001C0218" w:rsidRPr="001C0218">
        <w:rPr>
          <w:rFonts w:ascii="Tahoma" w:hAnsi="Tahoma" w:cs="Tahoma"/>
        </w:rPr>
        <w:t>survey</w:t>
      </w:r>
      <w:r w:rsidR="001C0218">
        <w:rPr>
          <w:rFonts w:ascii="Tahoma" w:hAnsi="Tahoma" w:cs="Tahoma"/>
        </w:rPr>
        <w:t>ed</w:t>
      </w:r>
      <w:r w:rsidR="001C0218" w:rsidRPr="001C0218">
        <w:rPr>
          <w:rFonts w:ascii="Tahoma" w:hAnsi="Tahoma" w:cs="Tahoma"/>
        </w:rPr>
        <w:t xml:space="preserve"> appreciated the convenience of the Education Room option.</w:t>
      </w:r>
      <w:r w:rsidRPr="001C0218">
        <w:rPr>
          <w:rFonts w:ascii="Tahoma" w:hAnsi="Tahoma" w:cs="Tahoma"/>
        </w:rPr>
        <w:t xml:space="preserve"> </w:t>
      </w:r>
    </w:p>
    <w:p w:rsidR="001C0218" w:rsidRPr="001C0218" w:rsidRDefault="001C0218" w:rsidP="001C0218">
      <w:pPr>
        <w:ind w:left="-90" w:right="-360"/>
        <w:rPr>
          <w:rFonts w:ascii="Tahoma" w:hAnsi="Tahoma" w:cs="Tahoma"/>
        </w:rPr>
      </w:pPr>
    </w:p>
    <w:p w:rsidR="000F3E64" w:rsidRPr="0096580B" w:rsidRDefault="000F3E64" w:rsidP="00C2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9CCFF"/>
        <w:jc w:val="center"/>
        <w:rPr>
          <w:rFonts w:ascii="Tahoma" w:hAnsi="Tahoma" w:cs="Tahoma"/>
          <w:b/>
        </w:rPr>
      </w:pPr>
      <w:r w:rsidRPr="0096580B">
        <w:rPr>
          <w:rFonts w:ascii="Tahoma" w:hAnsi="Tahoma" w:cs="Tahoma"/>
          <w:b/>
        </w:rPr>
        <w:t>ACT</w:t>
      </w:r>
    </w:p>
    <w:p w:rsidR="000F3E64" w:rsidRDefault="000F3E64" w:rsidP="00C2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Standardize the Improvement and Establish Future Plans</w:t>
      </w:r>
    </w:p>
    <w:p w:rsidR="000F3E64" w:rsidRDefault="000F3E64" w:rsidP="000F3E64">
      <w:pPr>
        <w:rPr>
          <w:rFonts w:ascii="Tahoma" w:hAnsi="Tahoma" w:cs="Tahoma"/>
        </w:rPr>
      </w:pPr>
    </w:p>
    <w:p w:rsidR="000B77D1" w:rsidRDefault="000F3E64" w:rsidP="000F3E64">
      <w:pPr>
        <w:rPr>
          <w:rFonts w:ascii="Tahoma" w:hAnsi="Tahoma" w:cs="Tahoma"/>
          <w:b/>
          <w:spacing w:val="-10"/>
        </w:rPr>
      </w:pPr>
      <w:r>
        <w:rPr>
          <w:rFonts w:ascii="Tahoma" w:hAnsi="Tahoma" w:cs="Tahoma"/>
          <w:b/>
        </w:rPr>
        <w:t xml:space="preserve">8.  </w:t>
      </w:r>
      <w:r w:rsidRPr="005C1651">
        <w:rPr>
          <w:rFonts w:ascii="Tahoma" w:hAnsi="Tahoma" w:cs="Tahoma"/>
          <w:b/>
          <w:spacing w:val="-10"/>
        </w:rPr>
        <w:t xml:space="preserve">Standardize the Improvement </w:t>
      </w:r>
      <w:r w:rsidR="000B77D1">
        <w:rPr>
          <w:rFonts w:ascii="Tahoma" w:hAnsi="Tahoma" w:cs="Tahoma"/>
          <w:b/>
          <w:spacing w:val="-10"/>
        </w:rPr>
        <w:t xml:space="preserve">  </w:t>
      </w:r>
    </w:p>
    <w:p w:rsidR="000F3E64" w:rsidRDefault="000B77D1" w:rsidP="000F3E6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-10"/>
        </w:rPr>
        <w:t xml:space="preserve">       </w:t>
      </w:r>
      <w:proofErr w:type="gramStart"/>
      <w:r w:rsidR="00E62A9F" w:rsidRPr="005C1651">
        <w:rPr>
          <w:rFonts w:ascii="Tahoma" w:hAnsi="Tahoma" w:cs="Tahoma"/>
          <w:b/>
          <w:spacing w:val="-10"/>
        </w:rPr>
        <w:t>or</w:t>
      </w:r>
      <w:proofErr w:type="gramEnd"/>
      <w:r w:rsidR="00E62A9F" w:rsidRPr="005C1651">
        <w:rPr>
          <w:rFonts w:ascii="Tahoma" w:hAnsi="Tahoma" w:cs="Tahoma"/>
          <w:b/>
          <w:spacing w:val="-10"/>
        </w:rPr>
        <w:t xml:space="preserve"> </w:t>
      </w:r>
      <w:r w:rsidR="00E62A9F">
        <w:rPr>
          <w:rFonts w:ascii="Tahoma" w:hAnsi="Tahoma" w:cs="Tahoma"/>
          <w:b/>
          <w:spacing w:val="-10"/>
        </w:rPr>
        <w:t>Develop</w:t>
      </w:r>
      <w:r w:rsidR="000F3E64" w:rsidRPr="005C1651">
        <w:rPr>
          <w:rFonts w:ascii="Tahoma" w:hAnsi="Tahoma" w:cs="Tahoma"/>
          <w:b/>
          <w:spacing w:val="-10"/>
        </w:rPr>
        <w:t xml:space="preserve"> New Theory</w:t>
      </w:r>
    </w:p>
    <w:p w:rsidR="000F3E64" w:rsidRDefault="001421C0" w:rsidP="00C2451C">
      <w:pPr>
        <w:ind w:right="-360"/>
        <w:rPr>
          <w:rFonts w:ascii="Tahoma" w:hAnsi="Tahoma" w:cs="Tahoma"/>
        </w:rPr>
      </w:pPr>
      <w:r>
        <w:rPr>
          <w:rFonts w:ascii="Tahoma" w:hAnsi="Tahoma" w:cs="Tahoma"/>
        </w:rPr>
        <w:t xml:space="preserve">The Education Room option will expand to serve WIC clients </w:t>
      </w:r>
      <w:r w:rsidR="00E90FFF">
        <w:rPr>
          <w:rFonts w:ascii="Tahoma" w:hAnsi="Tahoma" w:cs="Tahoma"/>
        </w:rPr>
        <w:t>who</w:t>
      </w:r>
      <w:r w:rsidR="00520CB4">
        <w:rPr>
          <w:rFonts w:ascii="Tahoma" w:hAnsi="Tahoma" w:cs="Tahoma"/>
        </w:rPr>
        <w:t xml:space="preserve"> have missed their appointment </w:t>
      </w:r>
      <w:r>
        <w:rPr>
          <w:rFonts w:ascii="Tahoma" w:hAnsi="Tahoma" w:cs="Tahoma"/>
        </w:rPr>
        <w:t xml:space="preserve">as well as </w:t>
      </w:r>
      <w:r w:rsidR="00520CB4">
        <w:rPr>
          <w:rFonts w:ascii="Tahoma" w:hAnsi="Tahoma" w:cs="Tahoma"/>
        </w:rPr>
        <w:t xml:space="preserve">scheduled </w:t>
      </w:r>
      <w:r>
        <w:rPr>
          <w:rFonts w:ascii="Tahoma" w:hAnsi="Tahoma" w:cs="Tahoma"/>
        </w:rPr>
        <w:t>2C’s</w:t>
      </w:r>
      <w:r w:rsidR="00E90FFF">
        <w:rPr>
          <w:rFonts w:ascii="Tahoma" w:hAnsi="Tahoma" w:cs="Tahoma"/>
        </w:rPr>
        <w:t>. An</w:t>
      </w:r>
      <w:r w:rsidR="007D11C7">
        <w:rPr>
          <w:rFonts w:ascii="Tahoma" w:hAnsi="Tahoma" w:cs="Tahoma"/>
        </w:rPr>
        <w:t xml:space="preserve"> at-home online education option will be offered</w:t>
      </w:r>
      <w:r w:rsidR="00E90FFF">
        <w:rPr>
          <w:rFonts w:ascii="Tahoma" w:hAnsi="Tahoma" w:cs="Tahoma"/>
        </w:rPr>
        <w:t xml:space="preserve"> also.</w:t>
      </w:r>
    </w:p>
    <w:p w:rsidR="00C03273" w:rsidRDefault="00C03273" w:rsidP="00C03273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 Establish Future Plans</w:t>
      </w:r>
    </w:p>
    <w:p w:rsidR="000F3E64" w:rsidRDefault="001421C0" w:rsidP="006E69A7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Improve the accuracy and efficiency of WIC data collection.</w:t>
      </w:r>
    </w:p>
    <w:p w:rsidR="00E90FFF" w:rsidRDefault="00E90FFF" w:rsidP="006E69A7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Explore the feasibility of text messaging appointment</w:t>
      </w:r>
      <w:r w:rsidR="005B47ED">
        <w:rPr>
          <w:rFonts w:ascii="Tahoma" w:hAnsi="Tahoma" w:cs="Tahoma"/>
        </w:rPr>
        <w:t xml:space="preserve"> reminders to clients.</w:t>
      </w:r>
      <w:bookmarkStart w:id="0" w:name="_GoBack"/>
      <w:bookmarkEnd w:id="0"/>
    </w:p>
    <w:p w:rsidR="000F3E64" w:rsidRPr="006704FC" w:rsidRDefault="001421C0" w:rsidP="006E69A7">
      <w:pPr>
        <w:pStyle w:val="ListParagraph"/>
        <w:numPr>
          <w:ilvl w:val="0"/>
          <w:numId w:val="5"/>
        </w:numPr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Create an effective marketing plan to attract new WIC-eligible clients.</w:t>
      </w:r>
    </w:p>
    <w:sectPr w:rsidR="000F3E64" w:rsidRPr="006704FC" w:rsidSect="006E69A7">
      <w:type w:val="continuous"/>
      <w:pgSz w:w="12240" w:h="15840" w:code="1"/>
      <w:pgMar w:top="288" w:right="720" w:bottom="144" w:left="864" w:header="360" w:footer="720" w:gutter="0"/>
      <w:cols w:num="3" w:space="5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5E" w:rsidRDefault="00682C5E" w:rsidP="007D0605">
      <w:r>
        <w:separator/>
      </w:r>
    </w:p>
  </w:endnote>
  <w:endnote w:type="continuationSeparator" w:id="0">
    <w:p w:rsidR="00682C5E" w:rsidRDefault="00682C5E" w:rsidP="007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5E" w:rsidRDefault="00682C5E" w:rsidP="007D0605">
      <w:r>
        <w:separator/>
      </w:r>
    </w:p>
  </w:footnote>
  <w:footnote w:type="continuationSeparator" w:id="0">
    <w:p w:rsidR="00682C5E" w:rsidRDefault="00682C5E" w:rsidP="007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1A" w:rsidRDefault="0060761A" w:rsidP="007D0605">
    <w:pPr>
      <w:pStyle w:val="Header"/>
      <w:tabs>
        <w:tab w:val="clear" w:pos="4680"/>
        <w:tab w:val="clear" w:pos="9360"/>
      </w:tabs>
      <w:jc w:val="center"/>
    </w:pPr>
    <w:r>
      <w:rPr>
        <w:noProof/>
        <w:sz w:val="24"/>
        <w:szCs w:val="24"/>
      </w:rPr>
      <w:drawing>
        <wp:inline distT="0" distB="0" distL="0" distR="0" wp14:anchorId="17E4215F" wp14:editId="25E0ED5D">
          <wp:extent cx="5950204" cy="215900"/>
          <wp:effectExtent l="6096" t="0" r="0" b="0"/>
          <wp:docPr id="3" name="Objec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338138"/>
                    <a:chOff x="0" y="0"/>
                    <a:chExt cx="9144000" cy="338138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0"/>
                      <a:ext cx="9144000" cy="338138"/>
                    </a:xfrm>
                    <a:prstGeom prst="rect">
                      <a:avLst/>
                    </a:prstGeom>
                    <a:solidFill>
                      <a:srgbClr val="214263"/>
                    </a:solidFill>
                    <a:ln>
                      <a:noFill/>
                    </a:ln>
                  </a:spPr>
                  <a:txSp>
                    <a:txBody>
                      <a:bodyPr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>
                          <a:defRPr/>
                        </a:pPr>
                        <a:r>
                          <a:rPr lang="en-US" sz="1600" b="1" i="1" smtClean="0">
                            <a:solidFill>
                              <a:schemeClr val="bg1"/>
                            </a:solidFill>
                            <a:latin typeface="Trebuchet MS" pitchFamily="34" charset="0"/>
                          </a:rPr>
                          <a:t>Public </a:t>
                        </a:r>
                        <a:r>
                          <a:rPr lang="en-US" sz="1600" b="1" i="1" dirty="0">
                            <a:solidFill>
                              <a:schemeClr val="bg1"/>
                            </a:solidFill>
                            <a:latin typeface="Trebuchet MS" pitchFamily="34" charset="0"/>
                          </a:rPr>
                          <a:t>Health Performance Management Centers for Excellence</a:t>
                        </a: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462"/>
    <w:multiLevelType w:val="hybridMultilevel"/>
    <w:tmpl w:val="1F5A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E6324"/>
    <w:multiLevelType w:val="hybridMultilevel"/>
    <w:tmpl w:val="541076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6F5867"/>
    <w:multiLevelType w:val="hybridMultilevel"/>
    <w:tmpl w:val="6C4CFFD4"/>
    <w:lvl w:ilvl="0" w:tplc="80583074">
      <w:start w:val="1"/>
      <w:numFmt w:val="bullet"/>
      <w:lvlText w:val="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6943"/>
    <w:multiLevelType w:val="hybridMultilevel"/>
    <w:tmpl w:val="0DA49D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38D4B8E"/>
    <w:multiLevelType w:val="hybridMultilevel"/>
    <w:tmpl w:val="85AA7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3974"/>
    <w:multiLevelType w:val="hybridMultilevel"/>
    <w:tmpl w:val="8834D93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4A1B2E1F"/>
    <w:multiLevelType w:val="hybridMultilevel"/>
    <w:tmpl w:val="D3D0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C2895"/>
    <w:multiLevelType w:val="hybridMultilevel"/>
    <w:tmpl w:val="530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A79"/>
    <w:multiLevelType w:val="hybridMultilevel"/>
    <w:tmpl w:val="D7CAFE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AE45951"/>
    <w:multiLevelType w:val="hybridMultilevel"/>
    <w:tmpl w:val="741A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BC"/>
    <w:rsid w:val="000305B6"/>
    <w:rsid w:val="00035942"/>
    <w:rsid w:val="00042642"/>
    <w:rsid w:val="00045AD3"/>
    <w:rsid w:val="000539F3"/>
    <w:rsid w:val="0006321D"/>
    <w:rsid w:val="00071593"/>
    <w:rsid w:val="000769BD"/>
    <w:rsid w:val="0007746B"/>
    <w:rsid w:val="00080EFF"/>
    <w:rsid w:val="00086C48"/>
    <w:rsid w:val="000B77D1"/>
    <w:rsid w:val="000C344C"/>
    <w:rsid w:val="000C4A9D"/>
    <w:rsid w:val="000E2A2B"/>
    <w:rsid w:val="000F29CF"/>
    <w:rsid w:val="000F3E64"/>
    <w:rsid w:val="00104D77"/>
    <w:rsid w:val="001421C0"/>
    <w:rsid w:val="00151089"/>
    <w:rsid w:val="001530F9"/>
    <w:rsid w:val="00162724"/>
    <w:rsid w:val="00171B17"/>
    <w:rsid w:val="00175473"/>
    <w:rsid w:val="0018134E"/>
    <w:rsid w:val="00183F69"/>
    <w:rsid w:val="00187886"/>
    <w:rsid w:val="00195381"/>
    <w:rsid w:val="001A4E14"/>
    <w:rsid w:val="001A7654"/>
    <w:rsid w:val="001B4304"/>
    <w:rsid w:val="001B7841"/>
    <w:rsid w:val="001C0218"/>
    <w:rsid w:val="001C3332"/>
    <w:rsid w:val="001C3957"/>
    <w:rsid w:val="001D0FFF"/>
    <w:rsid w:val="001E2B97"/>
    <w:rsid w:val="001E708F"/>
    <w:rsid w:val="00213010"/>
    <w:rsid w:val="00221947"/>
    <w:rsid w:val="00223CDF"/>
    <w:rsid w:val="00256D7C"/>
    <w:rsid w:val="00277F55"/>
    <w:rsid w:val="002832E5"/>
    <w:rsid w:val="002835AA"/>
    <w:rsid w:val="00283F46"/>
    <w:rsid w:val="0029019C"/>
    <w:rsid w:val="002C70FC"/>
    <w:rsid w:val="002D47FA"/>
    <w:rsid w:val="002E7B65"/>
    <w:rsid w:val="002F06CA"/>
    <w:rsid w:val="003006E8"/>
    <w:rsid w:val="0030499C"/>
    <w:rsid w:val="00307132"/>
    <w:rsid w:val="003159E7"/>
    <w:rsid w:val="003414AC"/>
    <w:rsid w:val="00345C01"/>
    <w:rsid w:val="00353022"/>
    <w:rsid w:val="003549A1"/>
    <w:rsid w:val="00397AAE"/>
    <w:rsid w:val="003A079A"/>
    <w:rsid w:val="003D1DE3"/>
    <w:rsid w:val="003F6F75"/>
    <w:rsid w:val="004113FC"/>
    <w:rsid w:val="00421CA5"/>
    <w:rsid w:val="004326C8"/>
    <w:rsid w:val="00482943"/>
    <w:rsid w:val="0049704F"/>
    <w:rsid w:val="004A1420"/>
    <w:rsid w:val="004B411C"/>
    <w:rsid w:val="004C33B1"/>
    <w:rsid w:val="004D0EA9"/>
    <w:rsid w:val="004E44BE"/>
    <w:rsid w:val="004F1FA7"/>
    <w:rsid w:val="004F7274"/>
    <w:rsid w:val="00520CB4"/>
    <w:rsid w:val="00561F35"/>
    <w:rsid w:val="00574477"/>
    <w:rsid w:val="00594F6E"/>
    <w:rsid w:val="005B0AAC"/>
    <w:rsid w:val="005B172F"/>
    <w:rsid w:val="005B47ED"/>
    <w:rsid w:val="005C11C4"/>
    <w:rsid w:val="005C1651"/>
    <w:rsid w:val="005D5343"/>
    <w:rsid w:val="005F6367"/>
    <w:rsid w:val="005F6D47"/>
    <w:rsid w:val="00606BC4"/>
    <w:rsid w:val="0060761A"/>
    <w:rsid w:val="00621F26"/>
    <w:rsid w:val="00626E18"/>
    <w:rsid w:val="006502CE"/>
    <w:rsid w:val="00652417"/>
    <w:rsid w:val="00661E71"/>
    <w:rsid w:val="0066529F"/>
    <w:rsid w:val="006704FC"/>
    <w:rsid w:val="00674E26"/>
    <w:rsid w:val="00682C5E"/>
    <w:rsid w:val="00684612"/>
    <w:rsid w:val="0068758A"/>
    <w:rsid w:val="0069451C"/>
    <w:rsid w:val="0069676C"/>
    <w:rsid w:val="006A4A9C"/>
    <w:rsid w:val="006B2472"/>
    <w:rsid w:val="006D0567"/>
    <w:rsid w:val="006D15B8"/>
    <w:rsid w:val="006E69A7"/>
    <w:rsid w:val="006F6F8A"/>
    <w:rsid w:val="0070189F"/>
    <w:rsid w:val="007038C9"/>
    <w:rsid w:val="00704DE2"/>
    <w:rsid w:val="007109D6"/>
    <w:rsid w:val="00710A2B"/>
    <w:rsid w:val="00724DED"/>
    <w:rsid w:val="00776F39"/>
    <w:rsid w:val="00796698"/>
    <w:rsid w:val="007A0677"/>
    <w:rsid w:val="007B624A"/>
    <w:rsid w:val="007B6BEC"/>
    <w:rsid w:val="007B7B40"/>
    <w:rsid w:val="007C7423"/>
    <w:rsid w:val="007D0605"/>
    <w:rsid w:val="007D11C7"/>
    <w:rsid w:val="007E4F06"/>
    <w:rsid w:val="007F5CE5"/>
    <w:rsid w:val="008305E7"/>
    <w:rsid w:val="00873E72"/>
    <w:rsid w:val="008748C5"/>
    <w:rsid w:val="00875201"/>
    <w:rsid w:val="008875EE"/>
    <w:rsid w:val="008A7EF9"/>
    <w:rsid w:val="008C4D56"/>
    <w:rsid w:val="008C6974"/>
    <w:rsid w:val="008E6DA1"/>
    <w:rsid w:val="0090201D"/>
    <w:rsid w:val="00927163"/>
    <w:rsid w:val="00934FB8"/>
    <w:rsid w:val="00964173"/>
    <w:rsid w:val="0096580B"/>
    <w:rsid w:val="00970CA5"/>
    <w:rsid w:val="0097315D"/>
    <w:rsid w:val="009908BA"/>
    <w:rsid w:val="0099456B"/>
    <w:rsid w:val="009A6A32"/>
    <w:rsid w:val="009B008E"/>
    <w:rsid w:val="009B51BD"/>
    <w:rsid w:val="009C5157"/>
    <w:rsid w:val="009D2401"/>
    <w:rsid w:val="009F6AB2"/>
    <w:rsid w:val="009F765C"/>
    <w:rsid w:val="00A00BF1"/>
    <w:rsid w:val="00A0443F"/>
    <w:rsid w:val="00A64A0D"/>
    <w:rsid w:val="00A72D31"/>
    <w:rsid w:val="00A96090"/>
    <w:rsid w:val="00AB2EF6"/>
    <w:rsid w:val="00AC120A"/>
    <w:rsid w:val="00AC2575"/>
    <w:rsid w:val="00AE546B"/>
    <w:rsid w:val="00AF1B34"/>
    <w:rsid w:val="00AF57F5"/>
    <w:rsid w:val="00B14A15"/>
    <w:rsid w:val="00B15859"/>
    <w:rsid w:val="00B269C2"/>
    <w:rsid w:val="00B3232B"/>
    <w:rsid w:val="00B5527C"/>
    <w:rsid w:val="00B67E86"/>
    <w:rsid w:val="00B7025A"/>
    <w:rsid w:val="00B91E99"/>
    <w:rsid w:val="00BA2026"/>
    <w:rsid w:val="00BA3075"/>
    <w:rsid w:val="00BC42D1"/>
    <w:rsid w:val="00BE55A5"/>
    <w:rsid w:val="00BF3A39"/>
    <w:rsid w:val="00C03273"/>
    <w:rsid w:val="00C233A6"/>
    <w:rsid w:val="00C2451C"/>
    <w:rsid w:val="00C248A4"/>
    <w:rsid w:val="00C370E7"/>
    <w:rsid w:val="00C40C69"/>
    <w:rsid w:val="00C44247"/>
    <w:rsid w:val="00C50EE6"/>
    <w:rsid w:val="00C7188E"/>
    <w:rsid w:val="00C822A8"/>
    <w:rsid w:val="00C91870"/>
    <w:rsid w:val="00C920EA"/>
    <w:rsid w:val="00CB75FF"/>
    <w:rsid w:val="00CD7CE5"/>
    <w:rsid w:val="00CE3449"/>
    <w:rsid w:val="00CF1FA3"/>
    <w:rsid w:val="00D07BB5"/>
    <w:rsid w:val="00D240A5"/>
    <w:rsid w:val="00D477DD"/>
    <w:rsid w:val="00DB2F4D"/>
    <w:rsid w:val="00DE1A2A"/>
    <w:rsid w:val="00DE6D3F"/>
    <w:rsid w:val="00E01E8A"/>
    <w:rsid w:val="00E205CD"/>
    <w:rsid w:val="00E206FC"/>
    <w:rsid w:val="00E20EFB"/>
    <w:rsid w:val="00E3529D"/>
    <w:rsid w:val="00E565E4"/>
    <w:rsid w:val="00E57739"/>
    <w:rsid w:val="00E62A9F"/>
    <w:rsid w:val="00E667E5"/>
    <w:rsid w:val="00E67437"/>
    <w:rsid w:val="00E715EB"/>
    <w:rsid w:val="00E8354C"/>
    <w:rsid w:val="00E90FFF"/>
    <w:rsid w:val="00EA4E2E"/>
    <w:rsid w:val="00EA7FBC"/>
    <w:rsid w:val="00EC5E52"/>
    <w:rsid w:val="00EC7581"/>
    <w:rsid w:val="00ED0DE1"/>
    <w:rsid w:val="00F16232"/>
    <w:rsid w:val="00F56313"/>
    <w:rsid w:val="00F643BD"/>
    <w:rsid w:val="00F82484"/>
    <w:rsid w:val="00FB5EF3"/>
    <w:rsid w:val="00FE4184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0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605"/>
    <w:rPr>
      <w:color w:val="000000"/>
      <w:kern w:val="28"/>
    </w:rPr>
  </w:style>
  <w:style w:type="paragraph" w:styleId="Footer">
    <w:name w:val="footer"/>
    <w:basedOn w:val="Normal"/>
    <w:link w:val="FooterChar"/>
    <w:rsid w:val="007D0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605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04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AD3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1B48-7F26-422D-909B-D4C3E34E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567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Sloan</dc:creator>
  <cp:keywords/>
  <dc:description/>
  <cp:lastModifiedBy>Susan Sloan</cp:lastModifiedBy>
  <cp:revision>11</cp:revision>
  <cp:lastPrinted>2013-08-13T19:57:00Z</cp:lastPrinted>
  <dcterms:created xsi:type="dcterms:W3CDTF">2013-08-13T20:38:00Z</dcterms:created>
  <dcterms:modified xsi:type="dcterms:W3CDTF">2013-08-15T13:09:00Z</dcterms:modified>
</cp:coreProperties>
</file>